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F44A" w14:textId="77777777" w:rsidR="008370F6" w:rsidRDefault="00103625">
      <w:pPr>
        <w:rPr>
          <w:rFonts w:ascii="Roboto" w:eastAsia="Roboto" w:hAnsi="Roboto" w:cs="Roboto"/>
          <w:b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A7B32F7" wp14:editId="335EEB53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43025" cy="7810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9032" b="989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E2818A" w14:textId="77777777" w:rsidR="008370F6" w:rsidRDefault="008370F6">
      <w:pPr>
        <w:rPr>
          <w:rFonts w:ascii="Roboto" w:eastAsia="Roboto" w:hAnsi="Roboto" w:cs="Roboto"/>
          <w:b/>
        </w:rPr>
      </w:pPr>
    </w:p>
    <w:p w14:paraId="29906FFD" w14:textId="77777777" w:rsidR="008370F6" w:rsidRDefault="008370F6">
      <w:pPr>
        <w:rPr>
          <w:rFonts w:ascii="Roboto" w:eastAsia="Roboto" w:hAnsi="Roboto" w:cs="Roboto"/>
          <w:b/>
        </w:rPr>
      </w:pPr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525"/>
      </w:tblGrid>
      <w:tr w:rsidR="008370F6" w14:paraId="31DA6EA8" w14:textId="77777777"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031F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17F5774F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3EEECA45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69D29839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4F26B6C5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1B3E8B45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49719887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25F5514E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4F3CE424" w14:textId="77777777" w:rsidR="008370F6" w:rsidRDefault="00103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5B768E77" wp14:editId="6E4457B9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180975</wp:posOffset>
                  </wp:positionV>
                  <wp:extent cx="1447800" cy="1152525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6358" r="5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E092BDE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70E4C7FA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13D8A40E" w14:textId="77777777" w:rsidR="008370F6" w:rsidRDefault="00103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  <w:t xml:space="preserve">NEWSLETTER GIUGNO  </w:t>
            </w:r>
          </w:p>
          <w:p w14:paraId="791A65A7" w14:textId="77777777" w:rsidR="008370F6" w:rsidRDefault="00103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  <w:t>N.RO 40</w:t>
            </w:r>
          </w:p>
        </w:tc>
        <w:tc>
          <w:tcPr>
            <w:tcW w:w="6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BD32" w14:textId="77777777" w:rsidR="008370F6" w:rsidRDefault="00103625">
            <w:pPr>
              <w:widowControl w:val="0"/>
              <w:spacing w:before="240" w:after="240" w:line="240" w:lineRule="auto"/>
              <w:jc w:val="both"/>
              <w:rPr>
                <w:rFonts w:ascii="Roboto" w:eastAsia="Roboto" w:hAnsi="Roboto" w:cs="Roboto"/>
                <w:b/>
                <w:color w:val="25408F"/>
                <w:sz w:val="36"/>
                <w:szCs w:val="36"/>
              </w:rPr>
            </w:pPr>
            <w:r>
              <w:rPr>
                <w:rFonts w:ascii="Roboto" w:eastAsia="Roboto" w:hAnsi="Roboto" w:cs="Roboto"/>
                <w:b/>
                <w:color w:val="25408F"/>
                <w:sz w:val="36"/>
                <w:szCs w:val="36"/>
              </w:rPr>
              <w:t>UKCA Aggiornamenti importanti</w:t>
            </w:r>
          </w:p>
          <w:p w14:paraId="0AF8CEA8" w14:textId="77777777" w:rsidR="008370F6" w:rsidRDefault="00103625">
            <w:pPr>
              <w:widowControl w:val="0"/>
              <w:spacing w:before="240" w:after="240" w:line="240" w:lineRule="auto"/>
              <w:jc w:val="both"/>
              <w:rPr>
                <w:rFonts w:ascii="Roboto" w:eastAsia="Roboto" w:hAnsi="Roboto" w:cs="Roboto"/>
                <w:b/>
                <w:color w:val="25408F"/>
                <w:sz w:val="36"/>
                <w:szCs w:val="36"/>
              </w:rPr>
            </w:pPr>
            <w:r>
              <w:rPr>
                <w:rFonts w:ascii="Roboto" w:eastAsia="Roboto" w:hAnsi="Roboto" w:cs="Roboto"/>
                <w:b/>
                <w:color w:val="25408F"/>
                <w:sz w:val="36"/>
                <w:szCs w:val="36"/>
              </w:rPr>
              <w:t>Cambiano le regole</w:t>
            </w:r>
          </w:p>
          <w:p w14:paraId="061CABF2" w14:textId="77777777" w:rsidR="008370F6" w:rsidRDefault="00103625">
            <w:pPr>
              <w:widowControl w:val="0"/>
              <w:spacing w:before="240" w:line="36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Fonte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: </w:t>
            </w:r>
            <w:hyperlink r:id="rId7" w:anchor="full-publication-update-history"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  <w:highlight w:val="white"/>
                  <w:u w:val="single"/>
                </w:rPr>
                <w:t>gov.uk</w:t>
              </w:r>
            </w:hyperlink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14:paraId="14FD1D23" w14:textId="77777777" w:rsidR="008370F6" w:rsidRDefault="008370F6">
            <w:pPr>
              <w:widowControl w:val="0"/>
              <w:shd w:val="clear" w:color="auto" w:fill="FFFFFF"/>
              <w:spacing w:before="220" w:line="36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</w:pPr>
          </w:p>
          <w:p w14:paraId="4D53805C" w14:textId="77777777" w:rsidR="008370F6" w:rsidRDefault="00103625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APPROVED BODIES </w:t>
            </w:r>
          </w:p>
          <w:p w14:paraId="17702F8D" w14:textId="77777777" w:rsidR="008370F6" w:rsidRDefault="00103625">
            <w:pPr>
              <w:widowControl w:val="0"/>
              <w:shd w:val="clear" w:color="auto" w:fill="FFFFFF"/>
              <w:spacing w:line="360" w:lineRule="auto"/>
              <w:jc w:val="both"/>
              <w:rPr>
                <w:color w:val="222222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Un prodotto certificato CE prima della fine del 2022 non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avra’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piu’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bisogno di essere sottoposto alla valutazione di un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Approved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Body britannico.</w:t>
            </w:r>
          </w:p>
          <w:p w14:paraId="45DCFDCD" w14:textId="77777777" w:rsidR="008370F6" w:rsidRDefault="00103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Tali  prodotti, ribadiamo certificati CE prima del 31 dicembre 2022,  dovranno in ogni caso recare il marchio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UKCA, ma saranno sottoposti alla valutazione di un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Approved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Body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Uk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solo al momento della scadenza della certificazione di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conformita’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ottenuta o,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piu’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genericamente, dopo 5 anni ( 31 dicembre 2027).</w:t>
            </w:r>
          </w:p>
          <w:p w14:paraId="4A01898C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806A52A" w14:textId="2FBF3AFD" w:rsidR="008370F6" w:rsidRDefault="00103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 governo provvederà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a regolamentare in dettaglio la </w:t>
            </w:r>
            <w:r>
              <w:rPr>
                <w:rFonts w:ascii="Roboto" w:eastAsia="Roboto" w:hAnsi="Roboto" w:cs="Roboto"/>
                <w:sz w:val="24"/>
                <w:szCs w:val="24"/>
              </w:rPr>
              <w:t>materia al fine di consentire ai produttori di poter dichiarare la conformità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al marchio UKCA sulla base delle attività’ di valutazione intraprese da un ente non britannico, comunque riconosciuto ed accreditato nella nazione di appartenenza.</w:t>
            </w:r>
          </w:p>
          <w:p w14:paraId="71FB05E9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461EAAB0" w14:textId="6DA6D321" w:rsidR="008370F6" w:rsidRDefault="00103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both"/>
              <w:rPr>
                <w:color w:val="222222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Non sarà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pe</w:t>
            </w:r>
            <w:r>
              <w:rPr>
                <w:rFonts w:ascii="Roboto" w:eastAsia="Roboto" w:hAnsi="Roboto" w:cs="Roboto"/>
                <w:sz w:val="24"/>
                <w:szCs w:val="24"/>
              </w:rPr>
              <w:t>rtanto richiesto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di testare nuovamente il prodotto con un evidente risparmio di costi per le aziende.</w:t>
            </w:r>
          </w:p>
          <w:p w14:paraId="21870346" w14:textId="77777777" w:rsidR="008370F6" w:rsidRDefault="008370F6">
            <w:pPr>
              <w:widowControl w:val="0"/>
              <w:shd w:val="clear" w:color="auto" w:fill="FFFFFF"/>
              <w:spacing w:before="220" w:line="36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</w:pPr>
          </w:p>
          <w:p w14:paraId="53954608" w14:textId="77777777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ETICHETTATURA</w:t>
            </w:r>
          </w:p>
          <w:p w14:paraId="20AC8430" w14:textId="77777777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Per i prodotti immessi sul mercato a partire dal 1° gennaio 2023, il governo introdurrà una legislazione che consentirà di apporre la marcatura UKCA su un'etichetta apposta sul prodotto (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sticky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labels consentite) o su un documento che lo accompagna 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>fino al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 31 dicembre 2025</w:t>
            </w:r>
            <w:r>
              <w:rPr>
                <w:rFonts w:ascii="Roboto" w:eastAsia="Roboto" w:hAnsi="Roboto" w:cs="Roboto"/>
                <w:sz w:val="24"/>
                <w:szCs w:val="24"/>
              </w:rPr>
              <w:t>. Ciò si applicherà alla maggior parte dei prodotti che richiedono la marcatura UKCA. Ci saranno regole diverse per:</w:t>
            </w:r>
          </w:p>
          <w:p w14:paraId="1557F2C4" w14:textId="77777777" w:rsidR="008370F6" w:rsidRDefault="00103625">
            <w:pPr>
              <w:widowControl w:val="0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dispositivi medici</w:t>
            </w:r>
          </w:p>
          <w:p w14:paraId="6A090E0F" w14:textId="77777777" w:rsidR="008370F6" w:rsidRDefault="00103625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prodotti da costruzione</w:t>
            </w:r>
          </w:p>
          <w:p w14:paraId="786D52E0" w14:textId="77777777" w:rsidR="008370F6" w:rsidRDefault="00103625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impianti a fune</w:t>
            </w:r>
          </w:p>
          <w:p w14:paraId="15115E21" w14:textId="77777777" w:rsidR="008370F6" w:rsidRDefault="00103625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sistemi aerei senza pilota</w:t>
            </w:r>
          </w:p>
          <w:p w14:paraId="5654CA1D" w14:textId="77777777" w:rsidR="008370F6" w:rsidRDefault="00103625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attrezzature marine</w:t>
            </w:r>
          </w:p>
          <w:p w14:paraId="0DDAA83C" w14:textId="77777777" w:rsidR="008370F6" w:rsidRDefault="00103625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attrezzature a p</w:t>
            </w:r>
            <w:r>
              <w:rPr>
                <w:rFonts w:ascii="Roboto" w:eastAsia="Roboto" w:hAnsi="Roboto" w:cs="Roboto"/>
                <w:sz w:val="24"/>
                <w:szCs w:val="24"/>
              </w:rPr>
              <w:t>ressione trasportabili</w:t>
            </w:r>
          </w:p>
          <w:p w14:paraId="1874B647" w14:textId="77777777" w:rsidR="008370F6" w:rsidRDefault="00103625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prodotti ferroviari</w:t>
            </w:r>
          </w:p>
          <w:p w14:paraId="50818946" w14:textId="77777777" w:rsidR="008370F6" w:rsidRDefault="008370F6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47C2736" w14:textId="77777777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PRODOTTI DA COSTRUZIONE</w:t>
            </w:r>
          </w:p>
          <w:p w14:paraId="79F901DA" w14:textId="77777777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 prodotti per l'edilizia che rientrano nel sistema AVCP 3 - come radiatori, sigillanti e adesivi per piastrelle - i cui prodotti sono stati testati da un organismo notificato dell'UE prim</w:t>
            </w:r>
            <w:r>
              <w:rPr>
                <w:rFonts w:ascii="Roboto" w:eastAsia="Roboto" w:hAnsi="Roboto" w:cs="Roboto"/>
                <w:sz w:val="24"/>
                <w:szCs w:val="24"/>
              </w:rPr>
              <w:t>a del 1° gennaio 2023 potranno ottenere un marchio UKCA senza dover effettuare nuovamente i test attraverso un organismo approvato dal Regno Unito.</w:t>
            </w:r>
          </w:p>
          <w:p w14:paraId="60C91416" w14:textId="77777777" w:rsidR="008370F6" w:rsidRDefault="008370F6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D146EA1" w14:textId="77777777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STOCK ESISTENTE</w:t>
            </w:r>
          </w:p>
          <w:p w14:paraId="33E4D9C6" w14:textId="478FF269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 prodotti marcati CE importati in UK entro la fine del 2022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potranno essere venduti senza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necessità di soddisfare i requisiti UKCA. Questo determina la rimozione dell’obbligo di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ri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-testare e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ri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>-certificare tali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prodotti che in realtà sono stati importati in un periodo durante il quale UK ancora riconosce il marchio CE.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</w:p>
          <w:p w14:paraId="6D835F1D" w14:textId="77777777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PEZZI DI RICAMBIO</w:t>
            </w:r>
          </w:p>
          <w:p w14:paraId="63E4C1BC" w14:textId="77777777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 pez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zi di ricambio e le cd.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spare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parts potranno essere immesse sul mercato britannico se ossequianti i medesimi requisiti in vigore al tempo della originaria immissione sul mercato.</w:t>
            </w:r>
          </w:p>
          <w:p w14:paraId="59E94035" w14:textId="091C38B5" w:rsidR="008370F6" w:rsidRDefault="00103625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Questo risponde alle preoccupazioni degli operatori economici </w:t>
            </w:r>
            <w:r>
              <w:rPr>
                <w:rFonts w:ascii="Roboto" w:eastAsia="Roboto" w:hAnsi="Roboto" w:cs="Roboto"/>
                <w:sz w:val="24"/>
                <w:szCs w:val="24"/>
              </w:rPr>
              <w:t>sulla disponibilità dei pezzi di ricambio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e garantisce di evitare interruzioni o malfunzionamenti delle attività’ aziendali.</w:t>
            </w:r>
          </w:p>
          <w:p w14:paraId="02B42D3B" w14:textId="77777777" w:rsidR="008370F6" w:rsidRDefault="008370F6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537D393" w14:textId="77777777" w:rsidR="008370F6" w:rsidRDefault="008370F6">
            <w:pPr>
              <w:widowControl w:val="0"/>
              <w:spacing w:before="240" w:line="36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9BC8F83" w14:textId="77777777" w:rsidR="008370F6" w:rsidRDefault="008370F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</w:pPr>
          </w:p>
        </w:tc>
      </w:tr>
      <w:tr w:rsidR="008370F6" w14:paraId="2C46445C" w14:textId="77777777"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E33F" w14:textId="77777777" w:rsidR="008370F6" w:rsidRDefault="0083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6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B4EB" w14:textId="77777777" w:rsidR="008370F6" w:rsidRDefault="008370F6">
            <w:pPr>
              <w:widowControl w:val="0"/>
              <w:spacing w:before="240" w:after="240" w:line="240" w:lineRule="auto"/>
              <w:jc w:val="both"/>
              <w:rPr>
                <w:rFonts w:ascii="Roboto" w:eastAsia="Roboto" w:hAnsi="Roboto" w:cs="Roboto"/>
                <w:b/>
                <w:color w:val="25408F"/>
                <w:sz w:val="36"/>
                <w:szCs w:val="36"/>
              </w:rPr>
            </w:pPr>
          </w:p>
        </w:tc>
      </w:tr>
    </w:tbl>
    <w:p w14:paraId="1EB93E9D" w14:textId="77777777" w:rsidR="008370F6" w:rsidRDefault="00103625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 wp14:anchorId="4EE65502" wp14:editId="755810DB">
            <wp:extent cx="5731200" cy="1270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A3C18F" w14:textId="77777777" w:rsidR="008370F6" w:rsidRDefault="008370F6">
      <w:pPr>
        <w:jc w:val="both"/>
        <w:rPr>
          <w:rFonts w:ascii="Roboto" w:eastAsia="Roboto" w:hAnsi="Roboto" w:cs="Roboto"/>
        </w:rPr>
      </w:pPr>
    </w:p>
    <w:p w14:paraId="7C457173" w14:textId="77777777" w:rsidR="008370F6" w:rsidRDefault="008370F6">
      <w:pPr>
        <w:jc w:val="both"/>
        <w:rPr>
          <w:rFonts w:ascii="Roboto" w:eastAsia="Roboto" w:hAnsi="Roboto" w:cs="Roboto"/>
        </w:rPr>
      </w:pPr>
    </w:p>
    <w:p w14:paraId="0F1E3534" w14:textId="77777777" w:rsidR="008370F6" w:rsidRDefault="008370F6">
      <w:pPr>
        <w:jc w:val="both"/>
        <w:rPr>
          <w:rFonts w:ascii="Roboto" w:eastAsia="Roboto" w:hAnsi="Roboto" w:cs="Roboto"/>
        </w:rPr>
      </w:pPr>
    </w:p>
    <w:p w14:paraId="14EBB913" w14:textId="77777777" w:rsidR="008370F6" w:rsidRDefault="008370F6">
      <w:pPr>
        <w:jc w:val="both"/>
        <w:rPr>
          <w:rFonts w:ascii="Roboto" w:eastAsia="Roboto" w:hAnsi="Roboto" w:cs="Roboto"/>
        </w:rPr>
      </w:pPr>
    </w:p>
    <w:p w14:paraId="3227D5AF" w14:textId="77777777" w:rsidR="008370F6" w:rsidRDefault="008370F6">
      <w:pPr>
        <w:jc w:val="both"/>
        <w:rPr>
          <w:rFonts w:ascii="Roboto" w:eastAsia="Roboto" w:hAnsi="Roboto" w:cs="Roboto"/>
        </w:rPr>
      </w:pPr>
    </w:p>
    <w:p w14:paraId="3D3D74DD" w14:textId="77777777" w:rsidR="008370F6" w:rsidRDefault="008370F6">
      <w:pPr>
        <w:jc w:val="both"/>
        <w:rPr>
          <w:rFonts w:ascii="Roboto" w:eastAsia="Roboto" w:hAnsi="Roboto" w:cs="Roboto"/>
        </w:rPr>
      </w:pPr>
    </w:p>
    <w:p w14:paraId="79B91767" w14:textId="77777777" w:rsidR="008370F6" w:rsidRDefault="008370F6">
      <w:pPr>
        <w:jc w:val="both"/>
        <w:rPr>
          <w:rFonts w:ascii="Roboto" w:eastAsia="Roboto" w:hAnsi="Roboto" w:cs="Roboto"/>
        </w:rPr>
      </w:pPr>
    </w:p>
    <w:p w14:paraId="4CC3B172" w14:textId="77777777" w:rsidR="008370F6" w:rsidRDefault="008370F6">
      <w:pPr>
        <w:jc w:val="both"/>
        <w:rPr>
          <w:rFonts w:ascii="Roboto" w:eastAsia="Roboto" w:hAnsi="Roboto" w:cs="Roboto"/>
        </w:rPr>
      </w:pPr>
    </w:p>
    <w:sectPr w:rsidR="008370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BCA"/>
    <w:multiLevelType w:val="multilevel"/>
    <w:tmpl w:val="010A5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103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F6"/>
    <w:rsid w:val="00103625"/>
    <w:rsid w:val="008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D550"/>
  <w15:docId w15:val="{FF2F4094-9EA7-46C9-BAEE-30D9E43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v.uk/guidance/using-the-ukca-ma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Migliore Gabriella</cp:lastModifiedBy>
  <cp:revision>2</cp:revision>
  <dcterms:created xsi:type="dcterms:W3CDTF">2022-06-21T15:11:00Z</dcterms:created>
  <dcterms:modified xsi:type="dcterms:W3CDTF">2022-06-21T15:12:00Z</dcterms:modified>
</cp:coreProperties>
</file>