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B26" w:rsidRPr="00FB0A3A" w:rsidRDefault="004F314A" w:rsidP="00FB0A3A">
      <w:pPr>
        <w:jc w:val="center"/>
        <w:rPr>
          <w:b/>
        </w:rPr>
      </w:pPr>
      <w:r w:rsidRPr="00FB0A3A">
        <w:rPr>
          <w:b/>
        </w:rPr>
        <w:t>L</w:t>
      </w:r>
      <w:r w:rsidR="00666A9C" w:rsidRPr="00FB0A3A">
        <w:rPr>
          <w:b/>
        </w:rPr>
        <w:t>icenz</w:t>
      </w:r>
      <w:r>
        <w:rPr>
          <w:b/>
        </w:rPr>
        <w:t>a d’uso</w:t>
      </w:r>
      <w:r w:rsidR="00666A9C" w:rsidRPr="00FB0A3A">
        <w:rPr>
          <w:b/>
        </w:rPr>
        <w:t xml:space="preserve"> “</w:t>
      </w:r>
      <w:proofErr w:type="spellStart"/>
      <w:r>
        <w:rPr>
          <w:b/>
        </w:rPr>
        <w:t>N</w:t>
      </w:r>
      <w:r w:rsidR="00666A9C" w:rsidRPr="00FB0A3A">
        <w:rPr>
          <w:b/>
        </w:rPr>
        <w:t>ep</w:t>
      </w:r>
      <w:proofErr w:type="spellEnd"/>
      <w:r w:rsidR="00666A9C" w:rsidRPr="00FB0A3A">
        <w:rPr>
          <w:b/>
        </w:rPr>
        <w:t xml:space="preserve">” – </w:t>
      </w:r>
      <w:r>
        <w:rPr>
          <w:b/>
        </w:rPr>
        <w:t>Allegato tecnico A)</w:t>
      </w:r>
    </w:p>
    <w:p w:rsidR="00666A9C" w:rsidRDefault="00666A9C">
      <w:bookmarkStart w:id="0" w:name="_GoBack"/>
      <w:bookmarkEnd w:id="0"/>
    </w:p>
    <w:p w:rsidR="00666A9C" w:rsidRDefault="001F0E54">
      <w:r>
        <w:rPr>
          <w:b/>
        </w:rPr>
        <w:t>Ambiente di utilizzo e prerequisiti</w:t>
      </w:r>
    </w:p>
    <w:p w:rsidR="001F0E54" w:rsidRDefault="001F0E54" w:rsidP="00641F06">
      <w:pPr>
        <w:jc w:val="both"/>
      </w:pPr>
      <w:r>
        <w:t>L’applicazione “</w:t>
      </w:r>
      <w:proofErr w:type="spellStart"/>
      <w:r>
        <w:t>nep</w:t>
      </w:r>
      <w:proofErr w:type="spellEnd"/>
      <w:r>
        <w:t xml:space="preserve">” è stata </w:t>
      </w:r>
      <w:r w:rsidR="00D245A8">
        <w:t>sviluppata</w:t>
      </w:r>
      <w:r>
        <w:t xml:space="preserve"> in ambiente Microsoft ® Access ® 2013 e richiede la presenza di tale </w:t>
      </w:r>
      <w:proofErr w:type="gramStart"/>
      <w:r>
        <w:t xml:space="preserve">software </w:t>
      </w:r>
      <w:r w:rsidR="00960B0F">
        <w:t>,</w:t>
      </w:r>
      <w:proofErr w:type="gramEnd"/>
      <w:r w:rsidR="00960B0F">
        <w:t xml:space="preserve"> anche in versione “</w:t>
      </w:r>
      <w:proofErr w:type="spellStart"/>
      <w:r w:rsidR="00960B0F">
        <w:t>runtime</w:t>
      </w:r>
      <w:proofErr w:type="spellEnd"/>
      <w:r w:rsidR="00960B0F">
        <w:t xml:space="preserve">”, </w:t>
      </w:r>
      <w:r>
        <w:t>per il suo funzionamento.</w:t>
      </w:r>
    </w:p>
    <w:p w:rsidR="001F0E54" w:rsidRDefault="001F0E54" w:rsidP="00641F06">
      <w:pPr>
        <w:jc w:val="both"/>
      </w:pPr>
      <w:r>
        <w:t>E’ prerequisito per l’utilizzo dell’applicazione un personal computer dotato di sistema operativo Microsoft ® Windows ® in una versione certificata per l’utilizzo del programma Microsoft ® Access ® 2013</w:t>
      </w:r>
      <w:r w:rsidR="00D245A8">
        <w:t>, in particolare per quanto riguarda processore e dimensione della memoria centrale (RAM); è altresì richiesto, per il funzionamento con performances adeguate, di spazio di memoria di massa adeguato, secondo le indicazioni del sistema operativo Microsoft ® Windows®.</w:t>
      </w:r>
    </w:p>
    <w:p w:rsidR="001F0E54" w:rsidRDefault="001F0E54" w:rsidP="00641F06">
      <w:pPr>
        <w:jc w:val="both"/>
      </w:pPr>
      <w:r>
        <w:t xml:space="preserve">Il funzionamento dell’applicazione è garantito </w:t>
      </w:r>
      <w:r w:rsidR="00641F06">
        <w:t>per la versione indicata del software Microsoft ® e per tutte le versioni successive dello stesso che assicurino la compatibilità con la versione indicata. Il rilascio di una versione dell’applicazione “</w:t>
      </w:r>
      <w:proofErr w:type="spellStart"/>
      <w:r w:rsidR="00641F06">
        <w:t>nep</w:t>
      </w:r>
      <w:proofErr w:type="spellEnd"/>
      <w:r w:rsidR="00641F06">
        <w:t>” compatibile con versioni successive di Microsoft ® Access ® potrà avvenire con tempi e modalità definite dallo sviluppatore.</w:t>
      </w:r>
      <w:r w:rsidR="004F314A">
        <w:t xml:space="preserve"> </w:t>
      </w:r>
    </w:p>
    <w:p w:rsidR="00641F06" w:rsidRDefault="002D7AD3" w:rsidP="00641F06">
      <w:pPr>
        <w:jc w:val="both"/>
        <w:rPr>
          <w:b/>
        </w:rPr>
      </w:pPr>
      <w:r>
        <w:rPr>
          <w:b/>
        </w:rPr>
        <w:t>Limiti di responsabilità</w:t>
      </w:r>
    </w:p>
    <w:p w:rsidR="002D7AD3" w:rsidRDefault="002D7AD3" w:rsidP="00641F06">
      <w:pPr>
        <w:jc w:val="both"/>
      </w:pPr>
      <w:r>
        <w:t>Scopo dell’applicazione è costituire uno strumento per la gestione dei principali adempimenti previsti dalla normativa privacy, a partire dalla predisposizione del “Registro delle attività di trattamento”</w:t>
      </w:r>
      <w:r w:rsidR="004F314A">
        <w:t>.</w:t>
      </w:r>
    </w:p>
    <w:p w:rsidR="00930046" w:rsidRDefault="00930046" w:rsidP="00641F06">
      <w:pPr>
        <w:jc w:val="both"/>
      </w:pPr>
      <w:r>
        <w:t>L’applicazione “</w:t>
      </w:r>
      <w:proofErr w:type="spellStart"/>
      <w:r>
        <w:t>nep</w:t>
      </w:r>
      <w:proofErr w:type="spellEnd"/>
      <w:r>
        <w:t xml:space="preserve">” viene fornita con alcuni archivi precaricati (ad es. trattamenti, tipologie di ambiti di comunicazione, archivi utilizzati </w:t>
      </w:r>
      <w:proofErr w:type="gramStart"/>
      <w:r>
        <w:t>nel trattamenti</w:t>
      </w:r>
      <w:proofErr w:type="gramEnd"/>
      <w:r>
        <w:t>). Tali archivi precaricati (che possono altresì essere liberamente aggiornati, integrati e modificati dall’utente) non assicurano la conformità della documentazione prodotta rispetto alla normativa, e devono essere considerati come strumento di indirizzo dell’attività di analisi e di compilazione degli archivi che resta sotto l’esclusiva responsabilità dell’</w:t>
      </w:r>
      <w:r w:rsidR="00C22F69">
        <w:t>utilizzator</w:t>
      </w:r>
      <w:r>
        <w:t xml:space="preserve">e. L’utilizzo </w:t>
      </w:r>
      <w:proofErr w:type="gramStart"/>
      <w:r>
        <w:t xml:space="preserve">dell’applicazione </w:t>
      </w:r>
      <w:r w:rsidR="00C22F69">
        <w:t xml:space="preserve"> non</w:t>
      </w:r>
      <w:proofErr w:type="gramEnd"/>
      <w:r w:rsidR="00C22F69">
        <w:t xml:space="preserve"> garantisce di per sé la conformità normativa, che è il risultato del corretto e completo caricamento delle informazioni da parte del</w:t>
      </w:r>
      <w:r w:rsidR="004F314A">
        <w:t xml:space="preserve"> Cliente</w:t>
      </w:r>
      <w:r w:rsidR="00C22F69">
        <w:t>.</w:t>
      </w:r>
    </w:p>
    <w:p w:rsidR="004F0C03" w:rsidRDefault="004F0C03" w:rsidP="00641F06">
      <w:pPr>
        <w:jc w:val="both"/>
      </w:pPr>
      <w:r>
        <w:rPr>
          <w:b/>
        </w:rPr>
        <w:t>Limiti di utilizzabilità dell’applicazione</w:t>
      </w:r>
    </w:p>
    <w:p w:rsidR="004F0C03" w:rsidRDefault="004F0C03" w:rsidP="00641F06">
      <w:pPr>
        <w:jc w:val="both"/>
      </w:pPr>
      <w:r>
        <w:t xml:space="preserve">L’applicazione è utilizzabile </w:t>
      </w:r>
      <w:r w:rsidR="009A2BD7">
        <w:t>esclusivamente</w:t>
      </w:r>
      <w:r>
        <w:t xml:space="preserve"> dal</w:t>
      </w:r>
      <w:r w:rsidR="004F314A">
        <w:t xml:space="preserve"> Cliente</w:t>
      </w:r>
      <w:r>
        <w:t xml:space="preserve"> che sottoscrive il contratto di licenza d’uso di durata illimitata</w:t>
      </w:r>
      <w:r w:rsidR="00F15AFD">
        <w:t xml:space="preserve"> ed irrevocabile</w:t>
      </w:r>
      <w:r>
        <w:t xml:space="preserve">. </w:t>
      </w:r>
      <w:r w:rsidR="00F15AFD">
        <w:tab/>
      </w:r>
      <w:proofErr w:type="gramStart"/>
      <w:r>
        <w:t>E’</w:t>
      </w:r>
      <w:proofErr w:type="gramEnd"/>
      <w:r>
        <w:t xml:space="preserve"> fatto assoluto divieto di utilizzo dell’applicazione per soggetti diversi dal</w:t>
      </w:r>
      <w:r w:rsidR="004F314A">
        <w:t xml:space="preserve"> Cliente</w:t>
      </w:r>
      <w:r>
        <w:t xml:space="preserve">, anche se appartenenti al medesimo gruppo aziendale, a meno che ciò </w:t>
      </w:r>
      <w:r w:rsidR="009A2BD7">
        <w:t xml:space="preserve">non sia esplicitamente previsto tra </w:t>
      </w:r>
      <w:r w:rsidR="004F314A">
        <w:t>il Cliente</w:t>
      </w:r>
      <w:r w:rsidR="009A2BD7">
        <w:t xml:space="preserve"> e </w:t>
      </w:r>
      <w:r w:rsidR="004F314A">
        <w:t xml:space="preserve">il </w:t>
      </w:r>
      <w:r w:rsidR="009A2BD7">
        <w:t>distributore all’interno del presente contratto od in un documento contrattuale integrativo dello stesso, sottoscritto contestualmente o successivamente al</w:t>
      </w:r>
      <w:r w:rsidR="004F314A">
        <w:t>la licenza d’uso</w:t>
      </w:r>
      <w:r w:rsidR="009A2BD7">
        <w:t>.</w:t>
      </w:r>
    </w:p>
    <w:p w:rsidR="00641F06" w:rsidRDefault="00B32794" w:rsidP="00641F06">
      <w:pPr>
        <w:jc w:val="both"/>
      </w:pPr>
      <w:r>
        <w:rPr>
          <w:b/>
        </w:rPr>
        <w:t>Malfunzionamenti</w:t>
      </w:r>
    </w:p>
    <w:p w:rsidR="00AE1043" w:rsidRDefault="00AE1043" w:rsidP="00AE1043">
      <w:pPr>
        <w:jc w:val="both"/>
      </w:pPr>
      <w:r>
        <w:t>Sono considerati errori dell’applicazione solo quelli segnalati da Microsoft® Access® che continui a funzionare regolarmente. Eventuali malfunzionamenti di Microsoft® Access® segnalati dal sistema operativo (del tipo “Access ha smesso di funzionare…”) sono imputabili allo stesso e non sono compresi tra i malfunzionamenti dell’applicazione e non generano il diritto ad alcun tipo di servizio di assistenza.</w:t>
      </w:r>
    </w:p>
    <w:p w:rsidR="00AE1043" w:rsidRDefault="00B32794" w:rsidP="00AE1043">
      <w:pPr>
        <w:jc w:val="both"/>
      </w:pPr>
      <w:r>
        <w:t>Il Cliente</w:t>
      </w:r>
      <w:r w:rsidR="00AE1043">
        <w:t xml:space="preserve"> è tenuto, in caso di malfunzionamento dell’applicazione, a produrre la documentazione tecnica dello stesso (informazioni contenute nel pannello di segnalazione) nella misura in cui ciò è possibile, come a fornire supporto informativo relativo alle condizioni in cui si è verificato l’errore durante le attività di supporto tecnico.</w:t>
      </w:r>
    </w:p>
    <w:p w:rsidR="00AE1043" w:rsidRDefault="00AE1043" w:rsidP="00AE1043">
      <w:pPr>
        <w:jc w:val="both"/>
      </w:pPr>
      <w:r>
        <w:t xml:space="preserve">I servizi di garanzia relativi a malfunzionamenti avvengono di norma mediante servizi di assistenza da remoto. Qualora </w:t>
      </w:r>
      <w:r w:rsidR="00B32794">
        <w:t>il Cliente</w:t>
      </w:r>
      <w:r>
        <w:t xml:space="preserve"> rilevi un malfunzionamento è tenuto innanzitutto a verificare che lo stesso non sia causato </w:t>
      </w:r>
      <w:r>
        <w:lastRenderedPageBreak/>
        <w:t xml:space="preserve">dal mancato rispetto dei prerequisiti relativi all’ambiente di utilizzo. Dopo la verifica può inviare una richiesta a mezzo posta elettronica alla casella </w:t>
      </w:r>
      <w:r w:rsidR="00B32794">
        <w:t>di posta elettronica o PEC indicata nella licenza,</w:t>
      </w:r>
      <w:r>
        <w:t xml:space="preserve"> fornendo indicazioni sul malfunzionamento. A seguito della segnalazione potrà essere ricontattato, mediante invio di una mail alla casella di invio della richiesta, od a mezzo telefono al numero eventualmente indicato, entro </w:t>
      </w:r>
      <w:r w:rsidR="00DF4A07">
        <w:t>5</w:t>
      </w:r>
      <w:r>
        <w:t xml:space="preserve"> giorni lavorativi dalla segnalazione.</w:t>
      </w:r>
    </w:p>
    <w:p w:rsidR="00AE1043" w:rsidRDefault="00AE1043" w:rsidP="00AE1043">
      <w:pPr>
        <w:jc w:val="both"/>
      </w:pPr>
      <w:r>
        <w:t xml:space="preserve">Rilevato il malfunzionamento, si procederà entro </w:t>
      </w:r>
      <w:r w:rsidR="00DF4A07">
        <w:t>5</w:t>
      </w:r>
      <w:r>
        <w:t xml:space="preserve"> giorni lavorativi alla risoluzione dell’errore, inviando la versione aggiornata alla casella di posta elettronica utilizzata dal</w:t>
      </w:r>
      <w:r w:rsidR="00CE6991">
        <w:t xml:space="preserve"> Cliente</w:t>
      </w:r>
      <w:r>
        <w:t xml:space="preserve"> dell’applicazione.</w:t>
      </w:r>
    </w:p>
    <w:p w:rsidR="00AE1043" w:rsidRDefault="00AE1043" w:rsidP="00AE1043">
      <w:pPr>
        <w:jc w:val="both"/>
      </w:pPr>
      <w:r>
        <w:t>Qualora nei test effettuati il funzionamento della applicazione risultasse regolare e privo di errori, ne verrà data segnalazione all’utilizzatore; in tal caso lo stesso ha la facoltà di richiedere un intervento di assistenza tecnica presso la propria sede. Il servizio di assistenza tecnica presso la sede dell’utilizzatore è a pagamento secondo le condizioni indicate nella sezione relativa alle condizioni commerciali del presente contratto.</w:t>
      </w:r>
    </w:p>
    <w:p w:rsidR="00CE6991" w:rsidRPr="006829B8" w:rsidRDefault="00CE6991" w:rsidP="00641F06">
      <w:pPr>
        <w:jc w:val="both"/>
        <w:rPr>
          <w:b/>
          <w:i/>
        </w:rPr>
      </w:pPr>
      <w:r w:rsidRPr="00CE6991">
        <w:rPr>
          <w:b/>
        </w:rPr>
        <w:t>Release per la conformità dell’applicativo</w:t>
      </w:r>
      <w:r w:rsidR="006829B8">
        <w:rPr>
          <w:b/>
        </w:rPr>
        <w:t xml:space="preserve"> </w:t>
      </w:r>
      <w:r w:rsidR="006829B8">
        <w:rPr>
          <w:b/>
        </w:rPr>
        <w:tab/>
      </w:r>
      <w:r w:rsidR="006829B8">
        <w:rPr>
          <w:b/>
        </w:rPr>
        <w:tab/>
      </w:r>
    </w:p>
    <w:p w:rsidR="00FB0A3A" w:rsidRDefault="00FB0A3A" w:rsidP="00641F06">
      <w:pPr>
        <w:jc w:val="both"/>
      </w:pPr>
      <w:r>
        <w:t xml:space="preserve">L’aggiornamento dell’applicazione </w:t>
      </w:r>
      <w:r w:rsidR="00CE6991">
        <w:t xml:space="preserve">alle modifiche normative, od operative ed interpretative delle Autorità di controllo </w:t>
      </w:r>
      <w:r w:rsidR="00C076A9">
        <w:t>è</w:t>
      </w:r>
      <w:r>
        <w:t xml:space="preserve"> garantito per la durata di </w:t>
      </w:r>
      <w:r w:rsidR="00D54AF7">
        <w:t xml:space="preserve">due </w:t>
      </w:r>
      <w:proofErr w:type="gramStart"/>
      <w:r w:rsidR="00D54AF7">
        <w:t>anni</w:t>
      </w:r>
      <w:r w:rsidR="00CE6991">
        <w:t xml:space="preserve"> </w:t>
      </w:r>
      <w:r>
        <w:t xml:space="preserve"> dalla</w:t>
      </w:r>
      <w:proofErr w:type="gramEnd"/>
      <w:r>
        <w:t xml:space="preserve"> data di installazione. L’aggiornamento può avvenire:</w:t>
      </w:r>
    </w:p>
    <w:p w:rsidR="00FB0A3A" w:rsidRDefault="00FB0A3A" w:rsidP="00FB0A3A">
      <w:pPr>
        <w:pStyle w:val="Paragrafoelenco"/>
        <w:numPr>
          <w:ilvl w:val="0"/>
          <w:numId w:val="1"/>
        </w:numPr>
        <w:jc w:val="both"/>
      </w:pPr>
      <w:r>
        <w:t xml:space="preserve"> qualora </w:t>
      </w:r>
      <w:r w:rsidR="00CE6991">
        <w:t>si ritenga</w:t>
      </w:r>
      <w:r>
        <w:t xml:space="preserve"> ritenga opportuno modificare le funzionalità dell’applicazione; in tal caso a) </w:t>
      </w:r>
      <w:r w:rsidR="00746FA6">
        <w:t>è assicurato il riporto degli archivi già inseriti negli archivi dell’applicazione nella versione precedente; b) è assicurato il mantenimento delle funzionalità presenti nella versione precedente.</w:t>
      </w:r>
    </w:p>
    <w:p w:rsidR="00746FA6" w:rsidRDefault="00746FA6" w:rsidP="00FB0A3A">
      <w:pPr>
        <w:pStyle w:val="Paragrafoelenco"/>
        <w:numPr>
          <w:ilvl w:val="0"/>
          <w:numId w:val="1"/>
        </w:numPr>
        <w:jc w:val="both"/>
      </w:pPr>
      <w:r>
        <w:t>a seguito di modifica della normativa sul trattamento dei dati personali e/o di emanazione di provvedimenti normativi od amministrativi che rendano impossibile l’utilizzo dell’applicazione nel rispetto della normativa e/o dei provvedimenti;</w:t>
      </w:r>
      <w:r w:rsidRPr="00746FA6">
        <w:t xml:space="preserve"> </w:t>
      </w:r>
      <w:r>
        <w:t>in tal caso a) è assicurato il riporto degli archivi già inseriti negli archivi dell’applicazione nella versione precedente; b) è assicurato il mantenimento delle funzionalità presenti nella versione precedente purché le modifiche normative non lo rendano impossibile.</w:t>
      </w:r>
      <w:r w:rsidR="002D7AD3">
        <w:t xml:space="preserve"> In caso di modifica normativa il rilascio della nuova versione avverrà </w:t>
      </w:r>
      <w:r w:rsidR="00CE6991">
        <w:t>in tempo utile rispetto</w:t>
      </w:r>
      <w:r w:rsidR="002D7AD3">
        <w:t xml:space="preserve"> </w:t>
      </w:r>
      <w:r w:rsidR="00CE6991">
        <w:t>al</w:t>
      </w:r>
      <w:r w:rsidR="002D7AD3">
        <w:t>la data di entrata in vigore della modifica normativa o</w:t>
      </w:r>
      <w:r w:rsidR="00CE6991">
        <w:t xml:space="preserve"> interpretativa</w:t>
      </w:r>
      <w:r w:rsidR="002D7AD3">
        <w:t xml:space="preserve">, qualora la stessa avvenga prima di </w:t>
      </w:r>
      <w:r w:rsidR="00CE6991">
        <w:t>due</w:t>
      </w:r>
      <w:r w:rsidR="002D7AD3">
        <w:t xml:space="preserve"> mesi dalla sua emanazione, entro due mesi dalla stessa.</w:t>
      </w:r>
    </w:p>
    <w:p w:rsidR="00F15AFD" w:rsidRDefault="00F15AFD" w:rsidP="00F15AFD">
      <w:pPr>
        <w:jc w:val="both"/>
      </w:pPr>
    </w:p>
    <w:p w:rsidR="00F15AFD" w:rsidRDefault="00F15AFD" w:rsidP="00F15AFD">
      <w:pPr>
        <w:jc w:val="both"/>
      </w:pPr>
    </w:p>
    <w:p w:rsidR="002B1EAD" w:rsidRPr="0021390A" w:rsidRDefault="00B977B5" w:rsidP="00B977B5">
      <w:pPr>
        <w:rPr>
          <w:b/>
        </w:rPr>
      </w:pPr>
      <w:r>
        <w:t xml:space="preserve">Segue </w:t>
      </w:r>
      <w:r w:rsidR="002B1EAD" w:rsidRPr="0021390A">
        <w:rPr>
          <w:b/>
        </w:rPr>
        <w:t>Allegato tecnico</w:t>
      </w:r>
      <w:r>
        <w:rPr>
          <w:b/>
        </w:rPr>
        <w:t xml:space="preserve"> A)</w:t>
      </w:r>
    </w:p>
    <w:p w:rsidR="0021390A" w:rsidRDefault="0021390A" w:rsidP="002B1EAD">
      <w:pPr>
        <w:jc w:val="both"/>
        <w:rPr>
          <w:b/>
        </w:rPr>
      </w:pPr>
    </w:p>
    <w:p w:rsidR="002B1EAD" w:rsidRDefault="002B1EAD" w:rsidP="0021390A">
      <w:pPr>
        <w:jc w:val="center"/>
        <w:rPr>
          <w:b/>
        </w:rPr>
      </w:pPr>
      <w:r w:rsidRPr="0021390A">
        <w:rPr>
          <w:b/>
        </w:rPr>
        <w:t xml:space="preserve">Versioni </w:t>
      </w:r>
      <w:r w:rsidR="0021390A" w:rsidRPr="0021390A">
        <w:rPr>
          <w:b/>
        </w:rPr>
        <w:t xml:space="preserve">e funzionalità </w:t>
      </w:r>
      <w:r w:rsidRPr="0021390A">
        <w:rPr>
          <w:b/>
        </w:rPr>
        <w:t>dell’applicativo “</w:t>
      </w:r>
      <w:proofErr w:type="spellStart"/>
      <w:r w:rsidRPr="0021390A">
        <w:rPr>
          <w:b/>
        </w:rPr>
        <w:t>nep</w:t>
      </w:r>
      <w:proofErr w:type="spellEnd"/>
      <w:r w:rsidRPr="0021390A">
        <w:rPr>
          <w:b/>
        </w:rPr>
        <w:t>”</w:t>
      </w:r>
    </w:p>
    <w:p w:rsidR="0021390A" w:rsidRPr="0021390A" w:rsidRDefault="0021390A" w:rsidP="002B1EAD">
      <w:pPr>
        <w:jc w:val="both"/>
        <w:rPr>
          <w:b/>
        </w:rPr>
      </w:pPr>
    </w:p>
    <w:tbl>
      <w:tblPr>
        <w:tblStyle w:val="Grigliatabella"/>
        <w:tblW w:w="0" w:type="auto"/>
        <w:tblLook w:val="04A0" w:firstRow="1" w:lastRow="0" w:firstColumn="1" w:lastColumn="0" w:noHBand="0" w:noVBand="1"/>
      </w:tblPr>
      <w:tblGrid>
        <w:gridCol w:w="6799"/>
        <w:gridCol w:w="1418"/>
        <w:gridCol w:w="1411"/>
      </w:tblGrid>
      <w:tr w:rsidR="002B1EAD" w:rsidRPr="006C5BDE" w:rsidTr="002B1EAD">
        <w:tc>
          <w:tcPr>
            <w:tcW w:w="6799" w:type="dxa"/>
          </w:tcPr>
          <w:p w:rsidR="002B1EAD" w:rsidRPr="006C5BDE" w:rsidRDefault="002B1EAD" w:rsidP="002B1EAD">
            <w:pPr>
              <w:rPr>
                <w:b/>
              </w:rPr>
            </w:pPr>
            <w:r w:rsidRPr="006C5BDE">
              <w:rPr>
                <w:b/>
              </w:rPr>
              <w:t>Versione</w:t>
            </w:r>
          </w:p>
        </w:tc>
        <w:tc>
          <w:tcPr>
            <w:tcW w:w="1418" w:type="dxa"/>
          </w:tcPr>
          <w:p w:rsidR="002B1EAD" w:rsidRPr="006C5BDE" w:rsidRDefault="002B1EAD" w:rsidP="002B1EAD">
            <w:pPr>
              <w:jc w:val="center"/>
              <w:rPr>
                <w:b/>
              </w:rPr>
            </w:pPr>
            <w:r w:rsidRPr="006C5BDE">
              <w:rPr>
                <w:b/>
              </w:rPr>
              <w:t>Small</w:t>
            </w:r>
          </w:p>
        </w:tc>
        <w:tc>
          <w:tcPr>
            <w:tcW w:w="1411" w:type="dxa"/>
          </w:tcPr>
          <w:p w:rsidR="002B1EAD" w:rsidRPr="006C5BDE" w:rsidRDefault="002B1EAD" w:rsidP="002B1EAD">
            <w:pPr>
              <w:jc w:val="center"/>
              <w:rPr>
                <w:b/>
              </w:rPr>
            </w:pPr>
            <w:r w:rsidRPr="006C5BDE">
              <w:rPr>
                <w:b/>
              </w:rPr>
              <w:t>Large</w:t>
            </w:r>
          </w:p>
        </w:tc>
      </w:tr>
      <w:tr w:rsidR="005D5770" w:rsidTr="005D5770">
        <w:tc>
          <w:tcPr>
            <w:tcW w:w="9628" w:type="dxa"/>
            <w:gridSpan w:val="3"/>
            <w:vAlign w:val="center"/>
          </w:tcPr>
          <w:p w:rsidR="005D5770" w:rsidRPr="005D5770" w:rsidRDefault="005D5770" w:rsidP="005D5770">
            <w:pPr>
              <w:jc w:val="center"/>
              <w:rPr>
                <w:b/>
              </w:rPr>
            </w:pPr>
            <w:r w:rsidRPr="005D5770">
              <w:rPr>
                <w:b/>
              </w:rPr>
              <w:t>Caratteristiche principali</w:t>
            </w:r>
          </w:p>
        </w:tc>
      </w:tr>
      <w:tr w:rsidR="002B1EAD" w:rsidTr="002B1EAD">
        <w:tc>
          <w:tcPr>
            <w:tcW w:w="6799" w:type="dxa"/>
          </w:tcPr>
          <w:p w:rsidR="002B1EAD" w:rsidRDefault="002B1EAD" w:rsidP="002B1EAD">
            <w:r>
              <w:t>Archivi precaricati</w:t>
            </w:r>
          </w:p>
        </w:tc>
        <w:tc>
          <w:tcPr>
            <w:tcW w:w="1418" w:type="dxa"/>
          </w:tcPr>
          <w:p w:rsidR="002B1EAD" w:rsidRDefault="002B1EAD" w:rsidP="002B1EAD">
            <w:pPr>
              <w:jc w:val="center"/>
            </w:pPr>
            <w:r>
              <w:sym w:font="Wingdings" w:char="F0FC"/>
            </w:r>
          </w:p>
        </w:tc>
        <w:tc>
          <w:tcPr>
            <w:tcW w:w="1411" w:type="dxa"/>
          </w:tcPr>
          <w:p w:rsidR="002B1EAD" w:rsidRDefault="002B1EAD" w:rsidP="002B1EAD">
            <w:pPr>
              <w:jc w:val="center"/>
            </w:pPr>
            <w:r>
              <w:sym w:font="Wingdings" w:char="F0FC"/>
            </w:r>
          </w:p>
        </w:tc>
      </w:tr>
      <w:tr w:rsidR="00B17092" w:rsidTr="002B1EAD">
        <w:tc>
          <w:tcPr>
            <w:tcW w:w="6799" w:type="dxa"/>
          </w:tcPr>
          <w:p w:rsidR="00B17092" w:rsidRDefault="00B17092" w:rsidP="002B1EAD">
            <w:r>
              <w:t>Campi di testo di lunghezza illimitata</w:t>
            </w:r>
          </w:p>
        </w:tc>
        <w:tc>
          <w:tcPr>
            <w:tcW w:w="1418" w:type="dxa"/>
          </w:tcPr>
          <w:p w:rsidR="00B17092" w:rsidRDefault="00B17092" w:rsidP="002B1EAD">
            <w:pPr>
              <w:jc w:val="center"/>
            </w:pPr>
            <w:r>
              <w:sym w:font="Wingdings" w:char="F0FC"/>
            </w:r>
          </w:p>
        </w:tc>
        <w:tc>
          <w:tcPr>
            <w:tcW w:w="1411" w:type="dxa"/>
          </w:tcPr>
          <w:p w:rsidR="00B17092" w:rsidRDefault="00B17092" w:rsidP="002B1EAD">
            <w:pPr>
              <w:jc w:val="center"/>
            </w:pPr>
            <w:r>
              <w:sym w:font="Wingdings" w:char="F0FC"/>
            </w:r>
          </w:p>
        </w:tc>
      </w:tr>
      <w:tr w:rsidR="005D5770" w:rsidTr="002B1EAD">
        <w:tc>
          <w:tcPr>
            <w:tcW w:w="6799" w:type="dxa"/>
          </w:tcPr>
          <w:p w:rsidR="005D5770" w:rsidRDefault="005D5770" w:rsidP="002B1EAD">
            <w:r>
              <w:t>Collegamento di archivi esterni</w:t>
            </w:r>
          </w:p>
        </w:tc>
        <w:tc>
          <w:tcPr>
            <w:tcW w:w="1418" w:type="dxa"/>
          </w:tcPr>
          <w:p w:rsidR="005D5770" w:rsidRDefault="005D5770" w:rsidP="002B1EAD">
            <w:pPr>
              <w:jc w:val="center"/>
            </w:pPr>
            <w:r>
              <w:sym w:font="Wingdings" w:char="F0FC"/>
            </w:r>
          </w:p>
        </w:tc>
        <w:tc>
          <w:tcPr>
            <w:tcW w:w="1411" w:type="dxa"/>
          </w:tcPr>
          <w:p w:rsidR="005D5770" w:rsidRDefault="005D5770" w:rsidP="002B1EAD">
            <w:pPr>
              <w:jc w:val="center"/>
            </w:pPr>
            <w:r>
              <w:sym w:font="Wingdings" w:char="F0FC"/>
            </w:r>
          </w:p>
        </w:tc>
      </w:tr>
      <w:tr w:rsidR="00B17092" w:rsidTr="002B1EAD">
        <w:tc>
          <w:tcPr>
            <w:tcW w:w="6799" w:type="dxa"/>
          </w:tcPr>
          <w:p w:rsidR="00B17092" w:rsidRDefault="00B17092" w:rsidP="002B1EAD">
            <w:r>
              <w:t>Funzioni di “help” per la compilazione di alcuni campi</w:t>
            </w:r>
          </w:p>
        </w:tc>
        <w:tc>
          <w:tcPr>
            <w:tcW w:w="1418" w:type="dxa"/>
          </w:tcPr>
          <w:p w:rsidR="00B17092" w:rsidRDefault="00B17092" w:rsidP="002B1EAD">
            <w:pPr>
              <w:jc w:val="center"/>
            </w:pPr>
            <w:r>
              <w:sym w:font="Wingdings" w:char="F0FC"/>
            </w:r>
          </w:p>
        </w:tc>
        <w:tc>
          <w:tcPr>
            <w:tcW w:w="1411" w:type="dxa"/>
          </w:tcPr>
          <w:p w:rsidR="00B17092" w:rsidRDefault="00B17092" w:rsidP="002B1EAD">
            <w:pPr>
              <w:jc w:val="center"/>
            </w:pPr>
            <w:r>
              <w:sym w:font="Wingdings" w:char="F0FC"/>
            </w:r>
          </w:p>
        </w:tc>
      </w:tr>
      <w:tr w:rsidR="005D5770" w:rsidTr="00C076A9">
        <w:tc>
          <w:tcPr>
            <w:tcW w:w="9628" w:type="dxa"/>
            <w:gridSpan w:val="3"/>
          </w:tcPr>
          <w:p w:rsidR="005D5770" w:rsidRPr="005D5770" w:rsidRDefault="005D5770" w:rsidP="002B1EAD">
            <w:pPr>
              <w:jc w:val="center"/>
              <w:rPr>
                <w:b/>
              </w:rPr>
            </w:pPr>
            <w:r w:rsidRPr="005D5770">
              <w:rPr>
                <w:b/>
              </w:rPr>
              <w:t>Funzionalità</w:t>
            </w:r>
          </w:p>
        </w:tc>
      </w:tr>
      <w:tr w:rsidR="002B1EAD" w:rsidTr="002B1EAD">
        <w:tc>
          <w:tcPr>
            <w:tcW w:w="6799" w:type="dxa"/>
          </w:tcPr>
          <w:p w:rsidR="002B1EAD" w:rsidRDefault="002B1EAD" w:rsidP="002B1EAD">
            <w:r>
              <w:t>Identificazione del titolare del trattamento e del DPO</w:t>
            </w:r>
          </w:p>
        </w:tc>
        <w:tc>
          <w:tcPr>
            <w:tcW w:w="1418" w:type="dxa"/>
          </w:tcPr>
          <w:p w:rsidR="002B1EAD" w:rsidRDefault="002B1EAD" w:rsidP="002B1EAD">
            <w:pPr>
              <w:jc w:val="center"/>
            </w:pPr>
            <w:r>
              <w:sym w:font="Wingdings" w:char="F0FC"/>
            </w:r>
          </w:p>
        </w:tc>
        <w:tc>
          <w:tcPr>
            <w:tcW w:w="1411" w:type="dxa"/>
          </w:tcPr>
          <w:p w:rsidR="002B1EAD" w:rsidRDefault="002B1EAD" w:rsidP="002B1EAD">
            <w:pPr>
              <w:jc w:val="center"/>
            </w:pPr>
            <w:r>
              <w:sym w:font="Wingdings" w:char="F0FC"/>
            </w:r>
          </w:p>
        </w:tc>
      </w:tr>
      <w:tr w:rsidR="002B1EAD" w:rsidTr="002B1EAD">
        <w:tc>
          <w:tcPr>
            <w:tcW w:w="6799" w:type="dxa"/>
          </w:tcPr>
          <w:p w:rsidR="002B1EAD" w:rsidRDefault="002B1EAD" w:rsidP="002B1EAD">
            <w:r>
              <w:t>Identificazione dei responsabili del trattamento</w:t>
            </w:r>
          </w:p>
        </w:tc>
        <w:tc>
          <w:tcPr>
            <w:tcW w:w="1418" w:type="dxa"/>
          </w:tcPr>
          <w:p w:rsidR="002B1EAD" w:rsidRDefault="002B1EAD" w:rsidP="002B1EAD">
            <w:pPr>
              <w:jc w:val="center"/>
            </w:pPr>
            <w:r>
              <w:sym w:font="Wingdings" w:char="F0FC"/>
            </w:r>
          </w:p>
        </w:tc>
        <w:tc>
          <w:tcPr>
            <w:tcW w:w="1411" w:type="dxa"/>
          </w:tcPr>
          <w:p w:rsidR="002B1EAD" w:rsidRDefault="002B1EAD" w:rsidP="002B1EAD">
            <w:pPr>
              <w:jc w:val="center"/>
            </w:pPr>
            <w:r>
              <w:sym w:font="Wingdings" w:char="F0FC"/>
            </w:r>
          </w:p>
        </w:tc>
      </w:tr>
      <w:tr w:rsidR="002B1EAD" w:rsidTr="002B1EAD">
        <w:tc>
          <w:tcPr>
            <w:tcW w:w="6799" w:type="dxa"/>
          </w:tcPr>
          <w:p w:rsidR="002B1EAD" w:rsidRDefault="00B17092" w:rsidP="002B1EAD">
            <w:r>
              <w:t>Gestione degli archivi utilizzati nei trattamenti</w:t>
            </w:r>
          </w:p>
        </w:tc>
        <w:tc>
          <w:tcPr>
            <w:tcW w:w="1418" w:type="dxa"/>
          </w:tcPr>
          <w:p w:rsidR="002B1EAD" w:rsidRDefault="00B17092" w:rsidP="002B1EAD">
            <w:pPr>
              <w:jc w:val="center"/>
            </w:pPr>
            <w:r>
              <w:sym w:font="Wingdings" w:char="F0FC"/>
            </w:r>
          </w:p>
        </w:tc>
        <w:tc>
          <w:tcPr>
            <w:tcW w:w="1411" w:type="dxa"/>
          </w:tcPr>
          <w:p w:rsidR="002B1EAD" w:rsidRDefault="00B17092" w:rsidP="002B1EAD">
            <w:pPr>
              <w:jc w:val="center"/>
            </w:pPr>
            <w:r>
              <w:sym w:font="Wingdings" w:char="F0FC"/>
            </w:r>
          </w:p>
        </w:tc>
      </w:tr>
      <w:tr w:rsidR="00B17092" w:rsidTr="002B1EAD">
        <w:tc>
          <w:tcPr>
            <w:tcW w:w="6799" w:type="dxa"/>
          </w:tcPr>
          <w:p w:rsidR="00B17092" w:rsidRDefault="00B17092" w:rsidP="002B1EAD">
            <w:r>
              <w:t>Gestione delle modalità di informativa</w:t>
            </w:r>
          </w:p>
        </w:tc>
        <w:tc>
          <w:tcPr>
            <w:tcW w:w="1418" w:type="dxa"/>
          </w:tcPr>
          <w:p w:rsidR="00B17092" w:rsidRDefault="00B17092" w:rsidP="002B1EAD">
            <w:pPr>
              <w:jc w:val="center"/>
            </w:pPr>
            <w:r>
              <w:sym w:font="Wingdings" w:char="F0FC"/>
            </w:r>
          </w:p>
        </w:tc>
        <w:tc>
          <w:tcPr>
            <w:tcW w:w="1411" w:type="dxa"/>
          </w:tcPr>
          <w:p w:rsidR="00B17092" w:rsidRDefault="00B17092" w:rsidP="002B1EAD">
            <w:pPr>
              <w:jc w:val="center"/>
            </w:pPr>
            <w:r>
              <w:sym w:font="Wingdings" w:char="F0FC"/>
            </w:r>
          </w:p>
        </w:tc>
      </w:tr>
      <w:tr w:rsidR="00B17092" w:rsidTr="002B1EAD">
        <w:tc>
          <w:tcPr>
            <w:tcW w:w="6799" w:type="dxa"/>
          </w:tcPr>
          <w:p w:rsidR="00B17092" w:rsidRDefault="00B17092" w:rsidP="002B1EAD">
            <w:r>
              <w:t>Gestione delle modalità di consenso</w:t>
            </w:r>
          </w:p>
        </w:tc>
        <w:tc>
          <w:tcPr>
            <w:tcW w:w="1418" w:type="dxa"/>
          </w:tcPr>
          <w:p w:rsidR="00B17092" w:rsidRDefault="00B17092" w:rsidP="002B1EAD">
            <w:pPr>
              <w:jc w:val="center"/>
            </w:pPr>
            <w:r>
              <w:sym w:font="Wingdings" w:char="F0FC"/>
            </w:r>
          </w:p>
        </w:tc>
        <w:tc>
          <w:tcPr>
            <w:tcW w:w="1411" w:type="dxa"/>
          </w:tcPr>
          <w:p w:rsidR="00B17092" w:rsidRDefault="00B17092" w:rsidP="002B1EAD">
            <w:pPr>
              <w:jc w:val="center"/>
            </w:pPr>
            <w:r>
              <w:sym w:font="Wingdings" w:char="F0FC"/>
            </w:r>
          </w:p>
        </w:tc>
      </w:tr>
      <w:tr w:rsidR="00B17092" w:rsidTr="002B1EAD">
        <w:tc>
          <w:tcPr>
            <w:tcW w:w="6799" w:type="dxa"/>
          </w:tcPr>
          <w:p w:rsidR="00B17092" w:rsidRDefault="00B17092" w:rsidP="002B1EAD">
            <w:r>
              <w:lastRenderedPageBreak/>
              <w:t>Gestione degli incaricati del trattamento</w:t>
            </w:r>
          </w:p>
        </w:tc>
        <w:tc>
          <w:tcPr>
            <w:tcW w:w="1418" w:type="dxa"/>
          </w:tcPr>
          <w:p w:rsidR="00B17092" w:rsidRDefault="00B17092" w:rsidP="002B1EAD">
            <w:pPr>
              <w:jc w:val="center"/>
            </w:pPr>
            <w:r>
              <w:sym w:font="Wingdings" w:char="F0FC"/>
            </w:r>
          </w:p>
        </w:tc>
        <w:tc>
          <w:tcPr>
            <w:tcW w:w="1411" w:type="dxa"/>
          </w:tcPr>
          <w:p w:rsidR="00B17092" w:rsidRDefault="00B17092" w:rsidP="002B1EAD">
            <w:pPr>
              <w:jc w:val="center"/>
            </w:pPr>
            <w:r>
              <w:sym w:font="Wingdings" w:char="F0FC"/>
            </w:r>
          </w:p>
        </w:tc>
      </w:tr>
      <w:tr w:rsidR="00B17092" w:rsidTr="002B1EAD">
        <w:tc>
          <w:tcPr>
            <w:tcW w:w="6799" w:type="dxa"/>
          </w:tcPr>
          <w:p w:rsidR="00B17092" w:rsidRDefault="00B17092" w:rsidP="002B1EAD">
            <w:r>
              <w:t>Gestione dei gruppi omogenei di incaricati del trattamento</w:t>
            </w:r>
          </w:p>
        </w:tc>
        <w:tc>
          <w:tcPr>
            <w:tcW w:w="1418" w:type="dxa"/>
          </w:tcPr>
          <w:p w:rsidR="00B17092" w:rsidRDefault="00B17092" w:rsidP="002B1EAD">
            <w:pPr>
              <w:jc w:val="center"/>
            </w:pPr>
            <w:r>
              <w:sym w:font="Wingdings" w:char="F0FC"/>
            </w:r>
          </w:p>
        </w:tc>
        <w:tc>
          <w:tcPr>
            <w:tcW w:w="1411" w:type="dxa"/>
          </w:tcPr>
          <w:p w:rsidR="00B17092" w:rsidRDefault="00B17092" w:rsidP="002B1EAD">
            <w:pPr>
              <w:jc w:val="center"/>
            </w:pPr>
            <w:r>
              <w:sym w:font="Wingdings" w:char="F0FC"/>
            </w:r>
          </w:p>
        </w:tc>
      </w:tr>
      <w:tr w:rsidR="00B17092" w:rsidTr="002B1EAD">
        <w:tc>
          <w:tcPr>
            <w:tcW w:w="6799" w:type="dxa"/>
          </w:tcPr>
          <w:p w:rsidR="00B17092" w:rsidRDefault="00B17092" w:rsidP="002B1EAD">
            <w:r>
              <w:t>Gestione degli ambiti di trattamento</w:t>
            </w:r>
          </w:p>
        </w:tc>
        <w:tc>
          <w:tcPr>
            <w:tcW w:w="1418" w:type="dxa"/>
          </w:tcPr>
          <w:p w:rsidR="00B17092" w:rsidRDefault="00B17092" w:rsidP="002B1EAD">
            <w:pPr>
              <w:jc w:val="center"/>
            </w:pPr>
            <w:r>
              <w:sym w:font="Wingdings" w:char="F0FC"/>
            </w:r>
          </w:p>
        </w:tc>
        <w:tc>
          <w:tcPr>
            <w:tcW w:w="1411" w:type="dxa"/>
          </w:tcPr>
          <w:p w:rsidR="00B17092" w:rsidRDefault="00B17092" w:rsidP="002B1EAD">
            <w:pPr>
              <w:jc w:val="center"/>
            </w:pPr>
            <w:r>
              <w:sym w:font="Wingdings" w:char="F0FC"/>
            </w:r>
          </w:p>
        </w:tc>
      </w:tr>
      <w:tr w:rsidR="00B41F83" w:rsidTr="002B1EAD">
        <w:tc>
          <w:tcPr>
            <w:tcW w:w="6799" w:type="dxa"/>
          </w:tcPr>
          <w:p w:rsidR="00B41F83" w:rsidRDefault="00B41F83" w:rsidP="002B1EAD">
            <w:r>
              <w:t>Documentazione dei trattamenti</w:t>
            </w:r>
          </w:p>
        </w:tc>
        <w:tc>
          <w:tcPr>
            <w:tcW w:w="1418" w:type="dxa"/>
          </w:tcPr>
          <w:p w:rsidR="00B41F83" w:rsidRDefault="00B41F83" w:rsidP="002B1EAD">
            <w:pPr>
              <w:jc w:val="center"/>
            </w:pPr>
            <w:r>
              <w:sym w:font="Wingdings" w:char="F0FC"/>
            </w:r>
          </w:p>
        </w:tc>
        <w:tc>
          <w:tcPr>
            <w:tcW w:w="1411" w:type="dxa"/>
          </w:tcPr>
          <w:p w:rsidR="00B41F83" w:rsidRDefault="00D7656E" w:rsidP="002B1EAD">
            <w:pPr>
              <w:jc w:val="center"/>
            </w:pPr>
            <w:r>
              <w:sym w:font="Wingdings" w:char="F0FC"/>
            </w:r>
          </w:p>
        </w:tc>
      </w:tr>
      <w:tr w:rsidR="00B17092" w:rsidTr="002B1EAD">
        <w:tc>
          <w:tcPr>
            <w:tcW w:w="6799" w:type="dxa"/>
          </w:tcPr>
          <w:p w:rsidR="00B17092" w:rsidRDefault="00B17092" w:rsidP="002B1EAD">
            <w:r>
              <w:t>Documentazione del sistema informatico</w:t>
            </w:r>
            <w:r w:rsidR="003F5FD6">
              <w:t xml:space="preserve"> e d</w:t>
            </w:r>
            <w:r w:rsidR="0082323C">
              <w:t>elle misure di sicurezza base</w:t>
            </w:r>
          </w:p>
        </w:tc>
        <w:tc>
          <w:tcPr>
            <w:tcW w:w="1418" w:type="dxa"/>
          </w:tcPr>
          <w:p w:rsidR="00B17092" w:rsidRDefault="00B17092" w:rsidP="002B1EAD">
            <w:pPr>
              <w:jc w:val="center"/>
            </w:pPr>
            <w:r>
              <w:sym w:font="Wingdings" w:char="F0FC"/>
            </w:r>
          </w:p>
        </w:tc>
        <w:tc>
          <w:tcPr>
            <w:tcW w:w="1411" w:type="dxa"/>
          </w:tcPr>
          <w:p w:rsidR="00B17092" w:rsidRDefault="00B17092" w:rsidP="002B1EAD">
            <w:pPr>
              <w:jc w:val="center"/>
            </w:pPr>
            <w:r>
              <w:sym w:font="Wingdings" w:char="F0FC"/>
            </w:r>
          </w:p>
        </w:tc>
      </w:tr>
      <w:tr w:rsidR="006C5BDE" w:rsidTr="002B1EAD">
        <w:tc>
          <w:tcPr>
            <w:tcW w:w="6799" w:type="dxa"/>
          </w:tcPr>
          <w:p w:rsidR="006C5BDE" w:rsidRDefault="006C5BDE" w:rsidP="000B530B">
            <w:r>
              <w:t>Gestione e stampa delle note di compilazione</w:t>
            </w:r>
          </w:p>
        </w:tc>
        <w:tc>
          <w:tcPr>
            <w:tcW w:w="1418" w:type="dxa"/>
          </w:tcPr>
          <w:p w:rsidR="006C5BDE" w:rsidRDefault="006C5BDE" w:rsidP="002B1EAD">
            <w:pPr>
              <w:jc w:val="center"/>
            </w:pPr>
            <w:r>
              <w:sym w:font="Wingdings" w:char="F0FC"/>
            </w:r>
          </w:p>
        </w:tc>
        <w:tc>
          <w:tcPr>
            <w:tcW w:w="1411" w:type="dxa"/>
          </w:tcPr>
          <w:p w:rsidR="006C5BDE" w:rsidRDefault="006C5BDE" w:rsidP="002B1EAD">
            <w:pPr>
              <w:jc w:val="center"/>
            </w:pPr>
            <w:r>
              <w:sym w:font="Wingdings" w:char="F0FC"/>
            </w:r>
          </w:p>
        </w:tc>
      </w:tr>
      <w:tr w:rsidR="000B530B" w:rsidTr="002B1EAD">
        <w:tc>
          <w:tcPr>
            <w:tcW w:w="6799" w:type="dxa"/>
          </w:tcPr>
          <w:p w:rsidR="000B530B" w:rsidRDefault="000B530B" w:rsidP="000B530B">
            <w:r>
              <w:t>Documentazione delle politiche di sicurezza infrastrutturali</w:t>
            </w:r>
          </w:p>
        </w:tc>
        <w:tc>
          <w:tcPr>
            <w:tcW w:w="1418" w:type="dxa"/>
          </w:tcPr>
          <w:p w:rsidR="000B530B" w:rsidRDefault="000B530B" w:rsidP="002B1EAD">
            <w:pPr>
              <w:jc w:val="center"/>
            </w:pPr>
          </w:p>
        </w:tc>
        <w:tc>
          <w:tcPr>
            <w:tcW w:w="1411" w:type="dxa"/>
          </w:tcPr>
          <w:p w:rsidR="000B530B" w:rsidRDefault="000B530B" w:rsidP="002B1EAD">
            <w:pPr>
              <w:jc w:val="center"/>
            </w:pPr>
            <w:r>
              <w:sym w:font="Wingdings" w:char="F0FC"/>
            </w:r>
          </w:p>
        </w:tc>
      </w:tr>
      <w:tr w:rsidR="000B530B" w:rsidTr="002B1EAD">
        <w:tc>
          <w:tcPr>
            <w:tcW w:w="6799" w:type="dxa"/>
          </w:tcPr>
          <w:p w:rsidR="000B530B" w:rsidRDefault="000B530B" w:rsidP="002B1EAD">
            <w:r>
              <w:t>Documentazione delle politiche di sicurezza applicative</w:t>
            </w:r>
          </w:p>
        </w:tc>
        <w:tc>
          <w:tcPr>
            <w:tcW w:w="1418" w:type="dxa"/>
          </w:tcPr>
          <w:p w:rsidR="000B530B" w:rsidRDefault="000B530B" w:rsidP="002B1EAD">
            <w:pPr>
              <w:jc w:val="center"/>
            </w:pPr>
          </w:p>
        </w:tc>
        <w:tc>
          <w:tcPr>
            <w:tcW w:w="1411" w:type="dxa"/>
          </w:tcPr>
          <w:p w:rsidR="000B530B" w:rsidRDefault="000B530B" w:rsidP="002B1EAD">
            <w:pPr>
              <w:jc w:val="center"/>
            </w:pPr>
            <w:r>
              <w:sym w:font="Wingdings" w:char="F0FC"/>
            </w:r>
          </w:p>
        </w:tc>
      </w:tr>
      <w:tr w:rsidR="000B530B" w:rsidTr="002B1EAD">
        <w:tc>
          <w:tcPr>
            <w:tcW w:w="6799" w:type="dxa"/>
          </w:tcPr>
          <w:p w:rsidR="000B530B" w:rsidRDefault="000B530B" w:rsidP="002B1EAD">
            <w:r>
              <w:t xml:space="preserve">Gestione dei “data </w:t>
            </w:r>
            <w:proofErr w:type="spellStart"/>
            <w:r>
              <w:t>breach</w:t>
            </w:r>
            <w:proofErr w:type="spellEnd"/>
            <w:r>
              <w:t>”</w:t>
            </w:r>
          </w:p>
        </w:tc>
        <w:tc>
          <w:tcPr>
            <w:tcW w:w="1418" w:type="dxa"/>
          </w:tcPr>
          <w:p w:rsidR="000B530B" w:rsidRDefault="000B530B" w:rsidP="002B1EAD">
            <w:pPr>
              <w:jc w:val="center"/>
            </w:pPr>
          </w:p>
        </w:tc>
        <w:tc>
          <w:tcPr>
            <w:tcW w:w="1411" w:type="dxa"/>
          </w:tcPr>
          <w:p w:rsidR="000B530B" w:rsidRDefault="000B530B" w:rsidP="002B1EAD">
            <w:pPr>
              <w:jc w:val="center"/>
            </w:pPr>
            <w:r>
              <w:sym w:font="Wingdings" w:char="F0FC"/>
            </w:r>
          </w:p>
        </w:tc>
      </w:tr>
      <w:tr w:rsidR="000B530B" w:rsidTr="002B1EAD">
        <w:tc>
          <w:tcPr>
            <w:tcW w:w="6799" w:type="dxa"/>
          </w:tcPr>
          <w:p w:rsidR="000B530B" w:rsidRDefault="000B530B" w:rsidP="002B1EAD">
            <w:r>
              <w:t>Importazione degli incaricati da file Excel</w:t>
            </w:r>
          </w:p>
        </w:tc>
        <w:tc>
          <w:tcPr>
            <w:tcW w:w="1418" w:type="dxa"/>
          </w:tcPr>
          <w:p w:rsidR="000B530B" w:rsidRDefault="000B530B" w:rsidP="002B1EAD">
            <w:pPr>
              <w:jc w:val="center"/>
            </w:pPr>
          </w:p>
        </w:tc>
        <w:tc>
          <w:tcPr>
            <w:tcW w:w="1411" w:type="dxa"/>
          </w:tcPr>
          <w:p w:rsidR="000B530B" w:rsidRDefault="000B530B" w:rsidP="002B1EAD">
            <w:pPr>
              <w:jc w:val="center"/>
            </w:pPr>
            <w:r>
              <w:sym w:font="Wingdings" w:char="F0FC"/>
            </w:r>
          </w:p>
        </w:tc>
      </w:tr>
      <w:tr w:rsidR="005D5770" w:rsidTr="00C076A9">
        <w:tc>
          <w:tcPr>
            <w:tcW w:w="9628" w:type="dxa"/>
            <w:gridSpan w:val="3"/>
          </w:tcPr>
          <w:p w:rsidR="005D5770" w:rsidRPr="005D5770" w:rsidRDefault="005D5770" w:rsidP="002B1EAD">
            <w:pPr>
              <w:jc w:val="center"/>
              <w:rPr>
                <w:b/>
              </w:rPr>
            </w:pPr>
            <w:r w:rsidRPr="005D5770">
              <w:rPr>
                <w:b/>
              </w:rPr>
              <w:t>Reportistica</w:t>
            </w:r>
          </w:p>
        </w:tc>
      </w:tr>
      <w:tr w:rsidR="000B530B" w:rsidTr="002B1EAD">
        <w:tc>
          <w:tcPr>
            <w:tcW w:w="6799" w:type="dxa"/>
          </w:tcPr>
          <w:p w:rsidR="000B530B" w:rsidRDefault="000B530B" w:rsidP="002B1EAD">
            <w:r>
              <w:t>Registro dei trattamenti (I sezione – trattamenti)</w:t>
            </w:r>
          </w:p>
        </w:tc>
        <w:tc>
          <w:tcPr>
            <w:tcW w:w="1418" w:type="dxa"/>
          </w:tcPr>
          <w:p w:rsidR="000B530B" w:rsidRDefault="000B530B" w:rsidP="002B1EAD">
            <w:pPr>
              <w:jc w:val="center"/>
            </w:pPr>
            <w:r>
              <w:sym w:font="Wingdings" w:char="F0FC"/>
            </w:r>
          </w:p>
        </w:tc>
        <w:tc>
          <w:tcPr>
            <w:tcW w:w="1411" w:type="dxa"/>
          </w:tcPr>
          <w:p w:rsidR="000B530B" w:rsidRDefault="000B530B" w:rsidP="002B1EAD">
            <w:pPr>
              <w:jc w:val="center"/>
            </w:pPr>
            <w:r>
              <w:sym w:font="Wingdings" w:char="F0FC"/>
            </w:r>
          </w:p>
        </w:tc>
      </w:tr>
      <w:tr w:rsidR="000B530B" w:rsidTr="002B1EAD">
        <w:tc>
          <w:tcPr>
            <w:tcW w:w="6799" w:type="dxa"/>
          </w:tcPr>
          <w:p w:rsidR="000B530B" w:rsidRDefault="000B530B" w:rsidP="002B1EAD">
            <w:r>
              <w:t>Registro dei trattamenti (II sezione – Archivi e incaricati)</w:t>
            </w:r>
          </w:p>
        </w:tc>
        <w:tc>
          <w:tcPr>
            <w:tcW w:w="1418" w:type="dxa"/>
          </w:tcPr>
          <w:p w:rsidR="000B530B" w:rsidRDefault="000B530B" w:rsidP="002B1EAD">
            <w:pPr>
              <w:jc w:val="center"/>
            </w:pPr>
            <w:r>
              <w:sym w:font="Wingdings" w:char="F0FC"/>
            </w:r>
          </w:p>
        </w:tc>
        <w:tc>
          <w:tcPr>
            <w:tcW w:w="1411" w:type="dxa"/>
          </w:tcPr>
          <w:p w:rsidR="000B530B" w:rsidRDefault="000B530B" w:rsidP="002B1EAD">
            <w:pPr>
              <w:jc w:val="center"/>
            </w:pPr>
            <w:r>
              <w:sym w:font="Wingdings" w:char="F0FC"/>
            </w:r>
          </w:p>
        </w:tc>
      </w:tr>
      <w:tr w:rsidR="000B530B" w:rsidTr="002B1EAD">
        <w:tc>
          <w:tcPr>
            <w:tcW w:w="6799" w:type="dxa"/>
          </w:tcPr>
          <w:p w:rsidR="000B530B" w:rsidRDefault="000B530B" w:rsidP="002B1EAD">
            <w:r>
              <w:t>Registro dei trattamenti (III sezione – sistema informatico e sic. di base)</w:t>
            </w:r>
          </w:p>
        </w:tc>
        <w:tc>
          <w:tcPr>
            <w:tcW w:w="1418" w:type="dxa"/>
          </w:tcPr>
          <w:p w:rsidR="000B530B" w:rsidRDefault="000B530B" w:rsidP="002B1EAD">
            <w:pPr>
              <w:jc w:val="center"/>
            </w:pPr>
            <w:r>
              <w:sym w:font="Wingdings" w:char="F0FC"/>
            </w:r>
          </w:p>
        </w:tc>
        <w:tc>
          <w:tcPr>
            <w:tcW w:w="1411" w:type="dxa"/>
          </w:tcPr>
          <w:p w:rsidR="000B530B" w:rsidRDefault="000B530B" w:rsidP="002B1EAD">
            <w:pPr>
              <w:jc w:val="center"/>
            </w:pPr>
            <w:r>
              <w:sym w:font="Wingdings" w:char="F0FC"/>
            </w:r>
          </w:p>
        </w:tc>
      </w:tr>
      <w:tr w:rsidR="000B530B" w:rsidTr="002B1EAD">
        <w:tc>
          <w:tcPr>
            <w:tcW w:w="6799" w:type="dxa"/>
          </w:tcPr>
          <w:p w:rsidR="000B530B" w:rsidRDefault="000B530B" w:rsidP="002B1EAD">
            <w:r>
              <w:t>Registro dei trattamenti (IV sezione – politiche di sicurezza)</w:t>
            </w:r>
          </w:p>
        </w:tc>
        <w:tc>
          <w:tcPr>
            <w:tcW w:w="1418" w:type="dxa"/>
          </w:tcPr>
          <w:p w:rsidR="000B530B" w:rsidRDefault="000B530B" w:rsidP="002B1EAD">
            <w:pPr>
              <w:jc w:val="center"/>
            </w:pPr>
          </w:p>
        </w:tc>
        <w:tc>
          <w:tcPr>
            <w:tcW w:w="1411" w:type="dxa"/>
          </w:tcPr>
          <w:p w:rsidR="000B530B" w:rsidRDefault="000B530B" w:rsidP="002B1EAD">
            <w:pPr>
              <w:jc w:val="center"/>
            </w:pPr>
            <w:r>
              <w:sym w:font="Wingdings" w:char="F0FC"/>
            </w:r>
          </w:p>
        </w:tc>
      </w:tr>
      <w:tr w:rsidR="005D5770" w:rsidTr="00C076A9">
        <w:tc>
          <w:tcPr>
            <w:tcW w:w="9628" w:type="dxa"/>
            <w:gridSpan w:val="3"/>
          </w:tcPr>
          <w:p w:rsidR="005D5770" w:rsidRPr="005D5770" w:rsidRDefault="005D5770" w:rsidP="002B1EAD">
            <w:pPr>
              <w:jc w:val="center"/>
              <w:rPr>
                <w:b/>
              </w:rPr>
            </w:pPr>
            <w:r w:rsidRPr="005D5770">
              <w:rPr>
                <w:b/>
              </w:rPr>
              <w:t>Funzioni di utilità</w:t>
            </w:r>
          </w:p>
        </w:tc>
      </w:tr>
      <w:tr w:rsidR="000B530B" w:rsidTr="002B1EAD">
        <w:tc>
          <w:tcPr>
            <w:tcW w:w="6799" w:type="dxa"/>
          </w:tcPr>
          <w:p w:rsidR="000B530B" w:rsidRDefault="006C5BDE" w:rsidP="002B1EAD">
            <w:r>
              <w:t>Report di controllo della compilazione</w:t>
            </w:r>
          </w:p>
        </w:tc>
        <w:tc>
          <w:tcPr>
            <w:tcW w:w="1418" w:type="dxa"/>
          </w:tcPr>
          <w:p w:rsidR="000B530B" w:rsidRDefault="006C5BDE" w:rsidP="002B1EAD">
            <w:pPr>
              <w:jc w:val="center"/>
            </w:pPr>
            <w:r>
              <w:sym w:font="Wingdings" w:char="F0FC"/>
            </w:r>
          </w:p>
        </w:tc>
        <w:tc>
          <w:tcPr>
            <w:tcW w:w="1411" w:type="dxa"/>
          </w:tcPr>
          <w:p w:rsidR="000B530B" w:rsidRDefault="006C5BDE" w:rsidP="002B1EAD">
            <w:pPr>
              <w:jc w:val="center"/>
            </w:pPr>
            <w:r>
              <w:sym w:font="Wingdings" w:char="F0FC"/>
            </w:r>
          </w:p>
        </w:tc>
      </w:tr>
      <w:tr w:rsidR="00AA3D31" w:rsidTr="002B1EAD">
        <w:tc>
          <w:tcPr>
            <w:tcW w:w="6799" w:type="dxa"/>
          </w:tcPr>
          <w:p w:rsidR="00AA3D31" w:rsidRDefault="00AA3D31" w:rsidP="006C5BDE">
            <w:r>
              <w:t>Stampa delle note di compilazione</w:t>
            </w:r>
          </w:p>
        </w:tc>
        <w:tc>
          <w:tcPr>
            <w:tcW w:w="1418" w:type="dxa"/>
          </w:tcPr>
          <w:p w:rsidR="00AA3D31" w:rsidRDefault="00AA3D31" w:rsidP="002B1EAD">
            <w:pPr>
              <w:jc w:val="center"/>
            </w:pPr>
            <w:r>
              <w:sym w:font="Wingdings" w:char="F0FC"/>
            </w:r>
          </w:p>
        </w:tc>
        <w:tc>
          <w:tcPr>
            <w:tcW w:w="1411" w:type="dxa"/>
          </w:tcPr>
          <w:p w:rsidR="00AA3D31" w:rsidRDefault="00AA3D31" w:rsidP="002B1EAD">
            <w:pPr>
              <w:jc w:val="center"/>
            </w:pPr>
            <w:r>
              <w:sym w:font="Wingdings" w:char="F0FC"/>
            </w:r>
          </w:p>
        </w:tc>
      </w:tr>
      <w:tr w:rsidR="006C5BDE" w:rsidTr="002B1EAD">
        <w:tc>
          <w:tcPr>
            <w:tcW w:w="6799" w:type="dxa"/>
          </w:tcPr>
          <w:p w:rsidR="006C5BDE" w:rsidRDefault="006C5BDE" w:rsidP="006C5BDE">
            <w:r>
              <w:t>Esportazione delle schede dei trattamenti</w:t>
            </w:r>
          </w:p>
        </w:tc>
        <w:tc>
          <w:tcPr>
            <w:tcW w:w="1418" w:type="dxa"/>
          </w:tcPr>
          <w:p w:rsidR="006C5BDE" w:rsidRDefault="006C5BDE" w:rsidP="002B1EAD">
            <w:pPr>
              <w:jc w:val="center"/>
            </w:pPr>
            <w:r>
              <w:sym w:font="Wingdings" w:char="F0FC"/>
            </w:r>
          </w:p>
        </w:tc>
        <w:tc>
          <w:tcPr>
            <w:tcW w:w="1411" w:type="dxa"/>
          </w:tcPr>
          <w:p w:rsidR="006C5BDE" w:rsidRDefault="006C5BDE" w:rsidP="002B1EAD">
            <w:pPr>
              <w:jc w:val="center"/>
            </w:pPr>
            <w:r>
              <w:sym w:font="Wingdings" w:char="F0FC"/>
            </w:r>
          </w:p>
        </w:tc>
      </w:tr>
      <w:tr w:rsidR="006C5BDE" w:rsidTr="002B1EAD">
        <w:tc>
          <w:tcPr>
            <w:tcW w:w="6799" w:type="dxa"/>
          </w:tcPr>
          <w:p w:rsidR="006C5BDE" w:rsidRDefault="006C5BDE" w:rsidP="002B1EAD">
            <w:r>
              <w:t>Supporto alla predisposizione delle istruzioni agli incaricati</w:t>
            </w:r>
          </w:p>
        </w:tc>
        <w:tc>
          <w:tcPr>
            <w:tcW w:w="1418" w:type="dxa"/>
          </w:tcPr>
          <w:p w:rsidR="006C5BDE" w:rsidRDefault="006C5BDE" w:rsidP="002B1EAD">
            <w:pPr>
              <w:jc w:val="center"/>
            </w:pPr>
            <w:r>
              <w:sym w:font="Wingdings" w:char="F0FC"/>
            </w:r>
          </w:p>
        </w:tc>
        <w:tc>
          <w:tcPr>
            <w:tcW w:w="1411" w:type="dxa"/>
          </w:tcPr>
          <w:p w:rsidR="006C5BDE" w:rsidRDefault="006C5BDE" w:rsidP="002B1EAD">
            <w:pPr>
              <w:jc w:val="center"/>
            </w:pPr>
            <w:r>
              <w:sym w:font="Wingdings" w:char="F0FC"/>
            </w:r>
          </w:p>
        </w:tc>
      </w:tr>
      <w:tr w:rsidR="006C5BDE" w:rsidTr="002B1EAD">
        <w:tc>
          <w:tcPr>
            <w:tcW w:w="6799" w:type="dxa"/>
          </w:tcPr>
          <w:p w:rsidR="006C5BDE" w:rsidRDefault="006C5BDE" w:rsidP="002B1EAD">
            <w:r>
              <w:t>Esportazione degli archivi in formato Excel</w:t>
            </w:r>
          </w:p>
        </w:tc>
        <w:tc>
          <w:tcPr>
            <w:tcW w:w="1418" w:type="dxa"/>
          </w:tcPr>
          <w:p w:rsidR="006C5BDE" w:rsidRDefault="006C5BDE" w:rsidP="002B1EAD">
            <w:pPr>
              <w:jc w:val="center"/>
            </w:pPr>
            <w:r>
              <w:sym w:font="Wingdings" w:char="F0FC"/>
            </w:r>
          </w:p>
        </w:tc>
        <w:tc>
          <w:tcPr>
            <w:tcW w:w="1411" w:type="dxa"/>
          </w:tcPr>
          <w:p w:rsidR="006C5BDE" w:rsidRDefault="006C5BDE" w:rsidP="002B1EAD">
            <w:pPr>
              <w:jc w:val="center"/>
            </w:pPr>
            <w:r>
              <w:sym w:font="Wingdings" w:char="F0FC"/>
            </w:r>
          </w:p>
        </w:tc>
      </w:tr>
      <w:tr w:rsidR="006C5BDE" w:rsidTr="002B1EAD">
        <w:tc>
          <w:tcPr>
            <w:tcW w:w="6799" w:type="dxa"/>
          </w:tcPr>
          <w:p w:rsidR="006C5BDE" w:rsidRDefault="006C5BDE" w:rsidP="002B1EAD">
            <w:r>
              <w:t>Supporto alla predisposizione di informative e consensi informati</w:t>
            </w:r>
          </w:p>
        </w:tc>
        <w:tc>
          <w:tcPr>
            <w:tcW w:w="1418" w:type="dxa"/>
          </w:tcPr>
          <w:p w:rsidR="006C5BDE" w:rsidRDefault="006C5BDE" w:rsidP="002B1EAD">
            <w:pPr>
              <w:jc w:val="center"/>
            </w:pPr>
            <w:r>
              <w:sym w:font="Wingdings" w:char="F0FC"/>
            </w:r>
          </w:p>
        </w:tc>
        <w:tc>
          <w:tcPr>
            <w:tcW w:w="1411" w:type="dxa"/>
          </w:tcPr>
          <w:p w:rsidR="006C5BDE" w:rsidRDefault="006C5BDE" w:rsidP="002B1EAD">
            <w:pPr>
              <w:jc w:val="center"/>
            </w:pPr>
            <w:r>
              <w:sym w:font="Wingdings" w:char="F0FC"/>
            </w:r>
          </w:p>
        </w:tc>
      </w:tr>
      <w:tr w:rsidR="006C5BDE" w:rsidTr="002B1EAD">
        <w:tc>
          <w:tcPr>
            <w:tcW w:w="6799" w:type="dxa"/>
          </w:tcPr>
          <w:p w:rsidR="006C5BDE" w:rsidRDefault="006C5BDE" w:rsidP="002B1EAD">
            <w:r>
              <w:t>Gestione delle verifiche dei trattamenti</w:t>
            </w:r>
          </w:p>
        </w:tc>
        <w:tc>
          <w:tcPr>
            <w:tcW w:w="1418" w:type="dxa"/>
          </w:tcPr>
          <w:p w:rsidR="006C5BDE" w:rsidRDefault="006C5BDE" w:rsidP="002B1EAD">
            <w:pPr>
              <w:jc w:val="center"/>
            </w:pPr>
            <w:r>
              <w:sym w:font="Wingdings" w:char="F0FC"/>
            </w:r>
          </w:p>
        </w:tc>
        <w:tc>
          <w:tcPr>
            <w:tcW w:w="1411" w:type="dxa"/>
          </w:tcPr>
          <w:p w:rsidR="006C5BDE" w:rsidRDefault="006C5BDE" w:rsidP="002B1EAD">
            <w:pPr>
              <w:jc w:val="center"/>
            </w:pPr>
            <w:r>
              <w:sym w:font="Wingdings" w:char="F0FC"/>
            </w:r>
          </w:p>
        </w:tc>
      </w:tr>
      <w:tr w:rsidR="005D5770" w:rsidTr="00C076A9">
        <w:tc>
          <w:tcPr>
            <w:tcW w:w="9628" w:type="dxa"/>
            <w:gridSpan w:val="3"/>
          </w:tcPr>
          <w:p w:rsidR="005D5770" w:rsidRPr="005D5770" w:rsidRDefault="005D5770" w:rsidP="002B1EAD">
            <w:pPr>
              <w:jc w:val="center"/>
              <w:rPr>
                <w:b/>
              </w:rPr>
            </w:pPr>
            <w:r w:rsidRPr="005D5770">
              <w:rPr>
                <w:b/>
              </w:rPr>
              <w:t>Modalità di utilizzo</w:t>
            </w:r>
          </w:p>
        </w:tc>
      </w:tr>
      <w:tr w:rsidR="006C5BDE" w:rsidTr="002B1EAD">
        <w:tc>
          <w:tcPr>
            <w:tcW w:w="6799" w:type="dxa"/>
          </w:tcPr>
          <w:p w:rsidR="006C5BDE" w:rsidRDefault="006C5BDE" w:rsidP="002B1EAD">
            <w:r>
              <w:t>Funzionamento in modalità monoutente</w:t>
            </w:r>
          </w:p>
        </w:tc>
        <w:tc>
          <w:tcPr>
            <w:tcW w:w="1418" w:type="dxa"/>
          </w:tcPr>
          <w:p w:rsidR="006C5BDE" w:rsidRDefault="006C5BDE" w:rsidP="002B1EAD">
            <w:pPr>
              <w:jc w:val="center"/>
            </w:pPr>
            <w:r>
              <w:sym w:font="Wingdings" w:char="F0FC"/>
            </w:r>
          </w:p>
        </w:tc>
        <w:tc>
          <w:tcPr>
            <w:tcW w:w="1411" w:type="dxa"/>
          </w:tcPr>
          <w:p w:rsidR="006C5BDE" w:rsidRDefault="006C5BDE" w:rsidP="002B1EAD">
            <w:pPr>
              <w:jc w:val="center"/>
            </w:pPr>
            <w:r>
              <w:sym w:font="Wingdings" w:char="F0FC"/>
            </w:r>
          </w:p>
        </w:tc>
      </w:tr>
      <w:tr w:rsidR="006C5BDE" w:rsidTr="002B1EAD">
        <w:tc>
          <w:tcPr>
            <w:tcW w:w="6799" w:type="dxa"/>
          </w:tcPr>
          <w:p w:rsidR="006C5BDE" w:rsidRDefault="009A6251" w:rsidP="002B1EAD">
            <w:r>
              <w:t>Funzionamento in rete in m</w:t>
            </w:r>
            <w:r w:rsidR="006C5BDE">
              <w:t>ulti-utenza</w:t>
            </w:r>
          </w:p>
        </w:tc>
        <w:tc>
          <w:tcPr>
            <w:tcW w:w="1418" w:type="dxa"/>
          </w:tcPr>
          <w:p w:rsidR="006C5BDE" w:rsidRDefault="006C5BDE" w:rsidP="002B1EAD">
            <w:pPr>
              <w:jc w:val="center"/>
            </w:pPr>
          </w:p>
        </w:tc>
        <w:tc>
          <w:tcPr>
            <w:tcW w:w="1411" w:type="dxa"/>
          </w:tcPr>
          <w:p w:rsidR="006C5BDE" w:rsidRDefault="006C5BDE" w:rsidP="002B1EAD">
            <w:pPr>
              <w:jc w:val="center"/>
            </w:pPr>
            <w:r>
              <w:sym w:font="Wingdings" w:char="F0FC"/>
            </w:r>
          </w:p>
        </w:tc>
      </w:tr>
    </w:tbl>
    <w:p w:rsidR="002B1EAD" w:rsidRDefault="002B1EAD" w:rsidP="002B1EAD">
      <w:pPr>
        <w:jc w:val="both"/>
      </w:pPr>
    </w:p>
    <w:p w:rsidR="006C5BDE" w:rsidRPr="006C5BDE" w:rsidRDefault="006C5BDE" w:rsidP="005D5770">
      <w:pPr>
        <w:spacing w:after="0"/>
        <w:jc w:val="both"/>
        <w:rPr>
          <w:b/>
        </w:rPr>
      </w:pPr>
      <w:r w:rsidRPr="006C5BDE">
        <w:rPr>
          <w:b/>
        </w:rPr>
        <w:t>Archivi precaricati</w:t>
      </w:r>
    </w:p>
    <w:p w:rsidR="006C5BDE" w:rsidRDefault="009A6251" w:rsidP="002B1EAD">
      <w:pPr>
        <w:jc w:val="both"/>
      </w:pPr>
      <w:r>
        <w:t>I principali archivi gestiti dall’applicazione (trattamenti, archivi, modalità di fornitura dell’informativa, modalità di raccolta del consenso, ambiti di comunicazione) vengono forniti nell’applicazione con i contenuti più frequentemente riscontrabili. L’utilizzatore ha la facoltà di utilizzare o meno i contenuti precaricati, e di modificarli, cancellarli, od integrarli per adattarli alla specificità dei propri trattamenti.</w:t>
      </w:r>
    </w:p>
    <w:p w:rsidR="005D5770" w:rsidRPr="005D5770" w:rsidRDefault="005D5770" w:rsidP="005D5770">
      <w:pPr>
        <w:spacing w:after="0"/>
        <w:jc w:val="both"/>
        <w:rPr>
          <w:b/>
        </w:rPr>
      </w:pPr>
      <w:r w:rsidRPr="005D5770">
        <w:rPr>
          <w:b/>
        </w:rPr>
        <w:t>Campi di testo di lunghezza illimitata</w:t>
      </w:r>
    </w:p>
    <w:p w:rsidR="005D5770" w:rsidRDefault="005D5770" w:rsidP="002B1EAD">
      <w:pPr>
        <w:jc w:val="both"/>
      </w:pPr>
      <w:r>
        <w:t>La gran parte dei campi che permettono l’inserimento di informazioni (tutti quelli dove ciò è necessario) possono contenere testi di lunghezza illimitata per permettere la massima chiarezza e completezza nella compilazione dei contenuti.</w:t>
      </w:r>
    </w:p>
    <w:p w:rsidR="005D5770" w:rsidRDefault="00235372" w:rsidP="00235372">
      <w:pPr>
        <w:spacing w:after="0"/>
        <w:jc w:val="both"/>
      </w:pPr>
      <w:r w:rsidRPr="00235372">
        <w:rPr>
          <w:b/>
        </w:rPr>
        <w:t>Collegamento di archivi esterni</w:t>
      </w:r>
    </w:p>
    <w:p w:rsidR="00235372" w:rsidRDefault="00235372" w:rsidP="002B1EAD">
      <w:pPr>
        <w:jc w:val="both"/>
      </w:pPr>
      <w:r>
        <w:t>Alcune delle sezioni che costituiscono l’applicazione (ad esempio identificazione dei responsabili, identificazione dei co</w:t>
      </w:r>
      <w:r w:rsidR="003907E8">
        <w:t>n</w:t>
      </w:r>
      <w:r>
        <w:t>titolari, ecc</w:t>
      </w:r>
      <w:r w:rsidR="003907E8">
        <w:t>.</w:t>
      </w:r>
      <w:r>
        <w:t>) contengono un campo in cui è possibile definire un collegamento ad un file presente in un archivio raggiungibile dall’applicazione, quali ad esempio atti di nomina.</w:t>
      </w:r>
    </w:p>
    <w:p w:rsidR="00235372" w:rsidRPr="00235372" w:rsidRDefault="00235372" w:rsidP="00235372">
      <w:pPr>
        <w:spacing w:after="0"/>
        <w:jc w:val="both"/>
        <w:rPr>
          <w:b/>
        </w:rPr>
      </w:pPr>
      <w:r w:rsidRPr="00235372">
        <w:rPr>
          <w:b/>
        </w:rPr>
        <w:t>Funzioni di “help” per la compilazione di alcuni campi</w:t>
      </w:r>
    </w:p>
    <w:p w:rsidR="00235372" w:rsidRDefault="00235372" w:rsidP="002B1EAD">
      <w:pPr>
        <w:jc w:val="both"/>
      </w:pPr>
      <w:r>
        <w:t xml:space="preserve">Per alcuni </w:t>
      </w:r>
      <w:r w:rsidR="008C0BA4">
        <w:t>campi l’utilizzatore ha la facoltà di far comparire una maschera che comprende un elenco dei valori e/o dei testi più frequentemente utilizzati in tale consenso e di riutilizzarlo. L’utente ha anche la facoltà di modificare ed implementare tale elenco che resta memorizzato per utilizzi successivi.</w:t>
      </w:r>
    </w:p>
    <w:p w:rsidR="0019010F" w:rsidRPr="0019010F" w:rsidRDefault="0019010F" w:rsidP="0019010F">
      <w:pPr>
        <w:spacing w:after="0"/>
        <w:jc w:val="both"/>
        <w:rPr>
          <w:b/>
        </w:rPr>
      </w:pPr>
      <w:r w:rsidRPr="0019010F">
        <w:rPr>
          <w:b/>
        </w:rPr>
        <w:t>Identificazione del titolare del trattamento e del DPO</w:t>
      </w:r>
    </w:p>
    <w:p w:rsidR="0019010F" w:rsidRDefault="002462E2" w:rsidP="002B1EAD">
      <w:pPr>
        <w:jc w:val="both"/>
      </w:pPr>
      <w:r>
        <w:lastRenderedPageBreak/>
        <w:t>La funzione permette di identificare il titolare del trattamento, il suo legale rappresentante e, qualora ritenuto opportuno, di riportare le informazioni dell’eventuale notificazione ai sensi dell’art. 37 del Codice della privacy (</w:t>
      </w:r>
      <w:proofErr w:type="spellStart"/>
      <w:r>
        <w:t>D.Lgs.</w:t>
      </w:r>
      <w:proofErr w:type="spellEnd"/>
      <w:r>
        <w:t xml:space="preserve"> 196/03).</w:t>
      </w:r>
    </w:p>
    <w:p w:rsidR="002462E2" w:rsidRDefault="002462E2" w:rsidP="002462E2">
      <w:pPr>
        <w:spacing w:after="0"/>
        <w:jc w:val="both"/>
      </w:pPr>
      <w:r w:rsidRPr="002462E2">
        <w:rPr>
          <w:b/>
        </w:rPr>
        <w:t>Identificazione dei responsabili del trattamento</w:t>
      </w:r>
    </w:p>
    <w:p w:rsidR="002462E2" w:rsidRDefault="002462E2" w:rsidP="002B1EAD">
      <w:pPr>
        <w:jc w:val="both"/>
      </w:pPr>
      <w:r>
        <w:t>La funzione permette di identificare i responsabili del trattamento nominati dal titolare e, dopo la compilazione della sezione relativa ai trattamenti, fornisce l’elenco dei trattamenti per i quali è efficace la nomina.</w:t>
      </w:r>
    </w:p>
    <w:p w:rsidR="002462E2" w:rsidRDefault="002462E2" w:rsidP="002462E2">
      <w:pPr>
        <w:spacing w:after="0"/>
        <w:jc w:val="both"/>
      </w:pPr>
      <w:r w:rsidRPr="002462E2">
        <w:rPr>
          <w:b/>
        </w:rPr>
        <w:t>Gestione degli archivi utilizzati nei trattamenti</w:t>
      </w:r>
    </w:p>
    <w:p w:rsidR="002462E2" w:rsidRDefault="002462E2" w:rsidP="002462E2">
      <w:pPr>
        <w:spacing w:after="0"/>
        <w:jc w:val="both"/>
      </w:pPr>
      <w:r>
        <w:t>Permette di descrivere gli archivi utilizzati nei trattamenti; per ciascuno di essi vengono indicati:</w:t>
      </w:r>
    </w:p>
    <w:p w:rsidR="002462E2" w:rsidRDefault="002462E2" w:rsidP="002462E2">
      <w:pPr>
        <w:pStyle w:val="Paragrafoelenco"/>
        <w:numPr>
          <w:ilvl w:val="0"/>
          <w:numId w:val="2"/>
        </w:numPr>
        <w:spacing w:after="0"/>
        <w:jc w:val="both"/>
      </w:pPr>
      <w:r>
        <w:t>la categoria di soggetti cui si riferisce l’archivio;</w:t>
      </w:r>
    </w:p>
    <w:p w:rsidR="002462E2" w:rsidRDefault="002462E2" w:rsidP="002462E2">
      <w:pPr>
        <w:pStyle w:val="Paragrafoelenco"/>
        <w:numPr>
          <w:ilvl w:val="0"/>
          <w:numId w:val="2"/>
        </w:numPr>
        <w:spacing w:after="0"/>
        <w:jc w:val="both"/>
      </w:pPr>
      <w:r>
        <w:t>il contenuto degli archivi;</w:t>
      </w:r>
    </w:p>
    <w:p w:rsidR="002462E2" w:rsidRDefault="002462E2" w:rsidP="002462E2">
      <w:pPr>
        <w:pStyle w:val="Paragrafoelenco"/>
        <w:numPr>
          <w:ilvl w:val="0"/>
          <w:numId w:val="2"/>
        </w:numPr>
        <w:spacing w:after="0"/>
        <w:jc w:val="both"/>
      </w:pPr>
      <w:r>
        <w:t>le tipologie di dati contenuti (comuni, particolari, giudiziari, considera</w:t>
      </w:r>
      <w:r w:rsidR="003907E8">
        <w:t>ti</w:t>
      </w:r>
      <w:r>
        <w:t xml:space="preserve"> know-how);</w:t>
      </w:r>
    </w:p>
    <w:p w:rsidR="002462E2" w:rsidRDefault="002462E2" w:rsidP="002462E2">
      <w:pPr>
        <w:pStyle w:val="Paragrafoelenco"/>
        <w:numPr>
          <w:ilvl w:val="0"/>
          <w:numId w:val="2"/>
        </w:numPr>
        <w:spacing w:after="0"/>
        <w:jc w:val="both"/>
      </w:pPr>
      <w:r>
        <w:t>gli strumenti informatici utilizzati per la gestione</w:t>
      </w:r>
      <w:r w:rsidR="00E947CC">
        <w:t xml:space="preserve"> e la relativa ubicazione</w:t>
      </w:r>
      <w:r>
        <w:t>, indicando le caratteristiche fondamentali del backup degli stessi;</w:t>
      </w:r>
    </w:p>
    <w:p w:rsidR="002462E2" w:rsidRDefault="00E947CC" w:rsidP="002462E2">
      <w:pPr>
        <w:pStyle w:val="Paragrafoelenco"/>
        <w:numPr>
          <w:ilvl w:val="0"/>
          <w:numId w:val="2"/>
        </w:numPr>
        <w:spacing w:after="0"/>
        <w:jc w:val="both"/>
      </w:pPr>
      <w:r>
        <w:t>i luoghi di conservazione degli archivi cartacei;</w:t>
      </w:r>
    </w:p>
    <w:p w:rsidR="00E947CC" w:rsidRDefault="00E947CC" w:rsidP="002462E2">
      <w:pPr>
        <w:pStyle w:val="Paragrafoelenco"/>
        <w:numPr>
          <w:ilvl w:val="0"/>
          <w:numId w:val="2"/>
        </w:numPr>
        <w:spacing w:after="0"/>
        <w:jc w:val="both"/>
      </w:pPr>
      <w:r>
        <w:t>eventuali altre modalità di gestione e relativa ubicazione degli archivi;</w:t>
      </w:r>
    </w:p>
    <w:p w:rsidR="00E947CC" w:rsidRDefault="00E947CC" w:rsidP="002462E2">
      <w:pPr>
        <w:pStyle w:val="Paragrafoelenco"/>
        <w:numPr>
          <w:ilvl w:val="0"/>
          <w:numId w:val="2"/>
        </w:numPr>
        <w:spacing w:after="0"/>
        <w:jc w:val="both"/>
      </w:pPr>
      <w:r>
        <w:t>eventuali note sulla gestione dell’archivio</w:t>
      </w:r>
    </w:p>
    <w:p w:rsidR="00E947CC" w:rsidRDefault="00E947CC" w:rsidP="00E947CC">
      <w:pPr>
        <w:spacing w:after="0"/>
        <w:jc w:val="both"/>
      </w:pPr>
      <w:r>
        <w:t>La funzione presenta l’elenco precompilato degli archivi più frequentemente utilizzati nei trattamenti, che può essere implementato dall’utilizzatore.</w:t>
      </w:r>
    </w:p>
    <w:p w:rsidR="00E947CC" w:rsidRDefault="00E947CC" w:rsidP="00E947CC">
      <w:pPr>
        <w:jc w:val="both"/>
      </w:pPr>
      <w:r>
        <w:t>Dopo la compilazione della sezione relativa alla descrizione dei trattamenti, la funzione permette di evidenziare i trattamenti in cui è utilizzato l’archivio.</w:t>
      </w:r>
    </w:p>
    <w:p w:rsidR="00E947CC" w:rsidRDefault="00E947CC" w:rsidP="00E947CC">
      <w:pPr>
        <w:spacing w:after="0"/>
        <w:jc w:val="both"/>
        <w:rPr>
          <w:b/>
        </w:rPr>
      </w:pPr>
      <w:r w:rsidRPr="00E947CC">
        <w:rPr>
          <w:b/>
        </w:rPr>
        <w:t>Gestione delle modalità di informativa</w:t>
      </w:r>
    </w:p>
    <w:p w:rsidR="00E947CC" w:rsidRDefault="00AB73EC" w:rsidP="00AB73EC">
      <w:pPr>
        <w:jc w:val="both"/>
      </w:pPr>
      <w:r w:rsidRPr="00AB73EC">
        <w:t>Fornisce</w:t>
      </w:r>
      <w:r>
        <w:t xml:space="preserve"> un elenco delle più comuni modalità di fornitura dell’informativa, implementabile dall’</w:t>
      </w:r>
      <w:r w:rsidR="00B41F83">
        <w:t>utilizzatore</w:t>
      </w:r>
      <w:r>
        <w:t>, da utilizzare nelle fasi di compilazione dei trattamenti.</w:t>
      </w:r>
    </w:p>
    <w:p w:rsidR="00AB73EC" w:rsidRDefault="00AB73EC" w:rsidP="00E947CC">
      <w:pPr>
        <w:jc w:val="both"/>
      </w:pPr>
      <w:r w:rsidRPr="00AB73EC">
        <w:rPr>
          <w:b/>
        </w:rPr>
        <w:t>Gestione delle modalità di consenso</w:t>
      </w:r>
    </w:p>
    <w:p w:rsidR="00AB73EC" w:rsidRDefault="00AB73EC" w:rsidP="00AB73EC">
      <w:pPr>
        <w:jc w:val="both"/>
      </w:pPr>
      <w:r w:rsidRPr="00AB73EC">
        <w:t>Fornisce</w:t>
      </w:r>
      <w:r>
        <w:t xml:space="preserve"> un elenco delle più comuni modalità di raccolta del consenso, implementabile dall’</w:t>
      </w:r>
      <w:r w:rsidR="00B41F83">
        <w:t>utilizzatore</w:t>
      </w:r>
      <w:r>
        <w:t>, da utilizzare nelle fasi di compilazione dei trattamenti.</w:t>
      </w:r>
    </w:p>
    <w:p w:rsidR="00AB73EC" w:rsidRDefault="00AB73EC" w:rsidP="00AB73EC">
      <w:pPr>
        <w:spacing w:after="0"/>
        <w:jc w:val="both"/>
      </w:pPr>
      <w:r w:rsidRPr="00AB73EC">
        <w:rPr>
          <w:b/>
        </w:rPr>
        <w:t>Gestione degli incaricati del trattamento</w:t>
      </w:r>
    </w:p>
    <w:p w:rsidR="00AB73EC" w:rsidRDefault="00AB73EC" w:rsidP="00AB73EC">
      <w:pPr>
        <w:spacing w:after="0"/>
        <w:jc w:val="both"/>
      </w:pPr>
      <w:r>
        <w:t>Permette di definire l’elenco degli incaricati del trattamento (addetti al trattamento). L’elenco può essere acquisito utilizzano la funzione “Importazione incaricati da file Excel” (nella versione Large).</w:t>
      </w:r>
    </w:p>
    <w:p w:rsidR="00AB73EC" w:rsidRDefault="00AB73EC" w:rsidP="00AB73EC">
      <w:pPr>
        <w:spacing w:after="0"/>
        <w:jc w:val="both"/>
      </w:pPr>
      <w:r>
        <w:t>La funzione permette inoltre:</w:t>
      </w:r>
    </w:p>
    <w:p w:rsidR="00AB73EC" w:rsidRDefault="00B41F83" w:rsidP="00B41F83">
      <w:pPr>
        <w:pStyle w:val="Paragrafoelenco"/>
        <w:numPr>
          <w:ilvl w:val="0"/>
          <w:numId w:val="3"/>
        </w:numPr>
        <w:spacing w:after="0"/>
        <w:jc w:val="both"/>
      </w:pPr>
      <w:r>
        <w:t>di gestire e visualizzare l’inserimento di un incaricato in un gruppo;</w:t>
      </w:r>
    </w:p>
    <w:p w:rsidR="00B41F83" w:rsidRDefault="00B41F83" w:rsidP="0015653A">
      <w:pPr>
        <w:pStyle w:val="Paragrafoelenco"/>
        <w:numPr>
          <w:ilvl w:val="0"/>
          <w:numId w:val="3"/>
        </w:numPr>
        <w:jc w:val="both"/>
      </w:pPr>
      <w:r>
        <w:t>dopo la compilazione dei trattamenti, di visualizzare l’elenco dei trattamenti cui partecipa l’incaricato.</w:t>
      </w:r>
    </w:p>
    <w:p w:rsidR="00B41F83" w:rsidRDefault="00B41F83" w:rsidP="00B41F83">
      <w:pPr>
        <w:spacing w:after="0"/>
        <w:jc w:val="both"/>
      </w:pPr>
      <w:r w:rsidRPr="00B41F83">
        <w:rPr>
          <w:b/>
        </w:rPr>
        <w:t>Gestione dei gruppi omogenei di incaricati del trattamento</w:t>
      </w:r>
    </w:p>
    <w:p w:rsidR="00B41F83" w:rsidRDefault="00B41F83" w:rsidP="0015653A">
      <w:pPr>
        <w:jc w:val="both"/>
      </w:pPr>
      <w:r>
        <w:t>Per gruppo omogeneo si definisce un gruppo di incaricati che effettuano il medesimo trattamento; ogni incaricato può appartenere a più gruppi. La funzione permette di visualizzare e gestire gli incaricati di ogni gruppo.</w:t>
      </w:r>
    </w:p>
    <w:p w:rsidR="00B41F83" w:rsidRDefault="00B41F83" w:rsidP="00B41F83">
      <w:pPr>
        <w:spacing w:after="0"/>
        <w:jc w:val="both"/>
      </w:pPr>
      <w:r w:rsidRPr="00B41F83">
        <w:rPr>
          <w:b/>
        </w:rPr>
        <w:t>Gestione degli ambiti di trattamento</w:t>
      </w:r>
    </w:p>
    <w:p w:rsidR="00B41F83" w:rsidRDefault="00B41F83" w:rsidP="0015653A">
      <w:pPr>
        <w:jc w:val="both"/>
      </w:pPr>
      <w:r w:rsidRPr="00AB73EC">
        <w:t>Fornisce</w:t>
      </w:r>
      <w:r>
        <w:t xml:space="preserve"> un elenco delle più comuni ambiti di comunicazione, implementabile dall’</w:t>
      </w:r>
      <w:proofErr w:type="spellStart"/>
      <w:r>
        <w:t>utilizzaztore</w:t>
      </w:r>
      <w:proofErr w:type="spellEnd"/>
      <w:r>
        <w:t>, da utilizzare nelle fasi di compilazione dei trattamenti.</w:t>
      </w:r>
    </w:p>
    <w:p w:rsidR="00B41F83" w:rsidRDefault="00D7656E" w:rsidP="00B41F83">
      <w:pPr>
        <w:spacing w:after="0"/>
        <w:jc w:val="both"/>
      </w:pPr>
      <w:r w:rsidRPr="00D7656E">
        <w:rPr>
          <w:b/>
        </w:rPr>
        <w:t>Documentazione dei trattamenti</w:t>
      </w:r>
    </w:p>
    <w:p w:rsidR="00D7656E" w:rsidRDefault="00CF326F" w:rsidP="00B41F83">
      <w:pPr>
        <w:spacing w:after="0"/>
        <w:jc w:val="both"/>
      </w:pPr>
      <w:r>
        <w:t xml:space="preserve">La funzione permette di documentare in modo completo i trattamenti; l’applicazione fornisce un elenco dei più comuni trattamenti; i trattamenti proposti possono essere attivati o meno; sono considerati nelle funzioni </w:t>
      </w:r>
      <w:r>
        <w:lastRenderedPageBreak/>
        <w:t>operative dell’applicazione solo i trattamenti dichiarati attivi. L’elenco può essere implementato dall’utilizzatore definendo ulteriori trattamenti.</w:t>
      </w:r>
    </w:p>
    <w:p w:rsidR="00CF326F" w:rsidRDefault="00CF326F" w:rsidP="00B41F83">
      <w:pPr>
        <w:spacing w:after="0"/>
        <w:jc w:val="both"/>
      </w:pPr>
      <w:r>
        <w:t>La funzione permette di definire quali trattamenti sono verificati o meno; questa funzionalità permette di definire i trattamenti verificati sia nel momento della compilazione dei trattamenti sia in successivi controlli (audit).</w:t>
      </w:r>
    </w:p>
    <w:p w:rsidR="00CF326F" w:rsidRDefault="00CF326F" w:rsidP="00B41F83">
      <w:pPr>
        <w:spacing w:after="0"/>
        <w:jc w:val="both"/>
      </w:pPr>
      <w:r>
        <w:t>La documentazione avviene fornendo le seguenti informazioni</w:t>
      </w:r>
      <w:r w:rsidR="00DE4B8A">
        <w:t>, che vengono fornite in specifiche sezioni (“</w:t>
      </w:r>
      <w:proofErr w:type="spellStart"/>
      <w:r w:rsidR="00DE4B8A">
        <w:t>tab</w:t>
      </w:r>
      <w:proofErr w:type="spellEnd"/>
      <w:r w:rsidR="00DE4B8A">
        <w:t>”)</w:t>
      </w:r>
      <w:r>
        <w:t>:</w:t>
      </w:r>
    </w:p>
    <w:p w:rsidR="00CF326F" w:rsidRDefault="00DE4B8A" w:rsidP="00CF326F">
      <w:pPr>
        <w:pStyle w:val="Paragrafoelenco"/>
        <w:numPr>
          <w:ilvl w:val="0"/>
          <w:numId w:val="4"/>
        </w:numPr>
        <w:spacing w:after="0"/>
        <w:jc w:val="both"/>
      </w:pPr>
      <w:r>
        <w:t>Descrizione del trattamento, indicazione della sua durata, descrizione eventuale dell’esternalizzazione del trattamento e del/dei soggetti esterni che partecipano al trattamento;</w:t>
      </w:r>
    </w:p>
    <w:p w:rsidR="00DE4B8A" w:rsidRDefault="00DE4B8A" w:rsidP="00CF326F">
      <w:pPr>
        <w:pStyle w:val="Paragrafoelenco"/>
        <w:numPr>
          <w:ilvl w:val="0"/>
          <w:numId w:val="4"/>
        </w:numPr>
        <w:spacing w:after="0"/>
        <w:jc w:val="both"/>
      </w:pPr>
      <w:r>
        <w:t>Eventuale co-titolare del trattamento, con descrizione e motivazione, ed indicazione del co-titolare;</w:t>
      </w:r>
    </w:p>
    <w:p w:rsidR="00DE4B8A" w:rsidRDefault="00DE4B8A" w:rsidP="00CF326F">
      <w:pPr>
        <w:pStyle w:val="Paragrafoelenco"/>
        <w:numPr>
          <w:ilvl w:val="0"/>
          <w:numId w:val="4"/>
        </w:numPr>
        <w:spacing w:after="0"/>
        <w:jc w:val="both"/>
      </w:pPr>
      <w:r>
        <w:t>Caratteristiche di liceità del trattamento: natura obbligatoria o meno del trattamento, motivazioni che ne assicurano la liceità,</w:t>
      </w:r>
      <w:r w:rsidR="00D50D4E">
        <w:t xml:space="preserve"> conseguenze del rifiuto di fornire le informazioni da parte dell’interessato, caratteristiche dell’eventuale diffusione dei dati, </w:t>
      </w:r>
      <w:r w:rsidR="006A3BE7">
        <w:t>indicazione e descrizione della presenza di eventuali processi decisionali automatizzati;</w:t>
      </w:r>
    </w:p>
    <w:p w:rsidR="006A3BE7" w:rsidRDefault="00725B47" w:rsidP="00CF326F">
      <w:pPr>
        <w:pStyle w:val="Paragrafoelenco"/>
        <w:numPr>
          <w:ilvl w:val="0"/>
          <w:numId w:val="4"/>
        </w:numPr>
        <w:spacing w:after="0"/>
        <w:jc w:val="both"/>
      </w:pPr>
      <w:r>
        <w:t>Archivi utilizzati nei trattamenti, che vengono selezionati dal relativo archivio;</w:t>
      </w:r>
    </w:p>
    <w:p w:rsidR="00725B47" w:rsidRDefault="00725B47" w:rsidP="00CF326F">
      <w:pPr>
        <w:pStyle w:val="Paragrafoelenco"/>
        <w:numPr>
          <w:ilvl w:val="0"/>
          <w:numId w:val="4"/>
        </w:numPr>
        <w:spacing w:after="0"/>
        <w:jc w:val="both"/>
      </w:pPr>
      <w:r>
        <w:t>Modalità di fornitura dell’informativa; per ogni trattamento possono essere definite più modalità selezionandole dal relativo archivio. Per ogni modalità è possibile indicare: i destinatari, una descrizione completa, il momento di fornitura, il luogo di archiviazione, un collegamento alla relativa documentazione, eventuali note;</w:t>
      </w:r>
    </w:p>
    <w:p w:rsidR="00725B47" w:rsidRDefault="003B69DB" w:rsidP="00CF326F">
      <w:pPr>
        <w:pStyle w:val="Paragrafoelenco"/>
        <w:numPr>
          <w:ilvl w:val="0"/>
          <w:numId w:val="4"/>
        </w:numPr>
        <w:spacing w:after="0"/>
        <w:jc w:val="both"/>
      </w:pPr>
      <w:r>
        <w:t>Modalità di raccolta del consenso; per ogni trattamento possono essere definite più modalità selezionandole dal relativo archivio. Per ogni modalità è possibile indicare: la descrizione, la modalità di archiviazione, i soggetti che raccolgono il consenso, eventuali note;</w:t>
      </w:r>
    </w:p>
    <w:p w:rsidR="003B69DB" w:rsidRDefault="003B69DB" w:rsidP="00CF326F">
      <w:pPr>
        <w:pStyle w:val="Paragrafoelenco"/>
        <w:numPr>
          <w:ilvl w:val="0"/>
          <w:numId w:val="4"/>
        </w:numPr>
        <w:spacing w:after="0"/>
        <w:jc w:val="both"/>
      </w:pPr>
      <w:r>
        <w:t>Ambiti di comunicazione e diffusione previsti per il trattamento, selezionando gli stessi dal relativo archivio;</w:t>
      </w:r>
    </w:p>
    <w:p w:rsidR="003B69DB" w:rsidRDefault="003B69DB" w:rsidP="00CF326F">
      <w:pPr>
        <w:pStyle w:val="Paragrafoelenco"/>
        <w:numPr>
          <w:ilvl w:val="0"/>
          <w:numId w:val="4"/>
        </w:numPr>
        <w:spacing w:after="0"/>
        <w:jc w:val="both"/>
      </w:pPr>
      <w:r>
        <w:t>Responsabili del trattamento, selezionando gli stessi dal relativo archivio;</w:t>
      </w:r>
    </w:p>
    <w:p w:rsidR="003B69DB" w:rsidRDefault="003B69DB" w:rsidP="00CF326F">
      <w:pPr>
        <w:pStyle w:val="Paragrafoelenco"/>
        <w:numPr>
          <w:ilvl w:val="0"/>
          <w:numId w:val="4"/>
        </w:numPr>
        <w:spacing w:after="0"/>
        <w:jc w:val="both"/>
      </w:pPr>
      <w:r>
        <w:t>Incaricati del trattamento: possono essere selezionati gruppi omogenei di incaricati e/o singoli incaricati, selezionandoli dal relativo archivio;</w:t>
      </w:r>
    </w:p>
    <w:p w:rsidR="003B69DB" w:rsidRDefault="003B69DB" w:rsidP="00CF326F">
      <w:pPr>
        <w:pStyle w:val="Paragrafoelenco"/>
        <w:numPr>
          <w:ilvl w:val="0"/>
          <w:numId w:val="4"/>
        </w:numPr>
        <w:spacing w:after="0"/>
        <w:jc w:val="both"/>
      </w:pPr>
      <w:r>
        <w:t xml:space="preserve">Trasferimenti all’estero previsti, indicando: destinatari, eventuale raccolta del consenso al trasferimento, </w:t>
      </w:r>
      <w:r w:rsidR="00DB3797">
        <w:t>eventuale accordo contrattuale con l’importatore, completo di relativa descrizione ed eventuale allegato, od autorizzazione del Garante che rende lecito il trasferimento, nonché eventuali note;</w:t>
      </w:r>
    </w:p>
    <w:p w:rsidR="00DB3797" w:rsidRDefault="00DB3797" w:rsidP="00CF326F">
      <w:pPr>
        <w:pStyle w:val="Paragrafoelenco"/>
        <w:numPr>
          <w:ilvl w:val="0"/>
          <w:numId w:val="4"/>
        </w:numPr>
        <w:spacing w:after="0"/>
        <w:jc w:val="both"/>
      </w:pPr>
      <w:r>
        <w:t>Misure di sicurezza specifiche (applicate a tale trattamento): l’applicazione permette di selezionare più tipologie di misure fornendo per le stesse le informazioni relative a specifiche, modalità, responsabili, frequenza, ed allegando eventuale documentazione;</w:t>
      </w:r>
    </w:p>
    <w:p w:rsidR="00DB3797" w:rsidRDefault="00DB3797" w:rsidP="0015653A">
      <w:pPr>
        <w:pStyle w:val="Paragrafoelenco"/>
        <w:numPr>
          <w:ilvl w:val="0"/>
          <w:numId w:val="4"/>
        </w:numPr>
        <w:jc w:val="both"/>
      </w:pPr>
      <w:r>
        <w:t>Sistemi informatici (applicazioni) utilizzate per il trattamento, selezionandole dal relativo archivio, ed indicando le funzionalità che vengono utilizzate nel trattamento.</w:t>
      </w:r>
    </w:p>
    <w:p w:rsidR="00DB3797" w:rsidRDefault="009A4D6A" w:rsidP="00DB3797">
      <w:pPr>
        <w:spacing w:after="0"/>
        <w:jc w:val="both"/>
        <w:rPr>
          <w:b/>
        </w:rPr>
      </w:pPr>
      <w:r w:rsidRPr="009A4D6A">
        <w:rPr>
          <w:b/>
        </w:rPr>
        <w:t>Documentazione del sistema informatico</w:t>
      </w:r>
      <w:r w:rsidR="0082323C">
        <w:rPr>
          <w:b/>
        </w:rPr>
        <w:t xml:space="preserve"> e delle misure di sicurezza di base</w:t>
      </w:r>
    </w:p>
    <w:p w:rsidR="009335CF" w:rsidRDefault="004369A5" w:rsidP="00DB3797">
      <w:pPr>
        <w:spacing w:after="0"/>
        <w:jc w:val="both"/>
      </w:pPr>
      <w:r>
        <w:t xml:space="preserve">Permette di descrivere, in modo </w:t>
      </w:r>
      <w:r w:rsidR="009335CF">
        <w:t xml:space="preserve">libero, il sistema informatico del titolare, indicando: </w:t>
      </w:r>
    </w:p>
    <w:p w:rsidR="009335CF" w:rsidRDefault="009335CF" w:rsidP="009335CF">
      <w:pPr>
        <w:pStyle w:val="Paragrafoelenco"/>
        <w:numPr>
          <w:ilvl w:val="0"/>
          <w:numId w:val="5"/>
        </w:numPr>
        <w:spacing w:after="0"/>
        <w:jc w:val="both"/>
      </w:pPr>
      <w:r>
        <w:t>server fisici con relativa descrizione;</w:t>
      </w:r>
    </w:p>
    <w:p w:rsidR="009335CF" w:rsidRDefault="009335CF" w:rsidP="009335CF">
      <w:pPr>
        <w:pStyle w:val="Paragrafoelenco"/>
        <w:numPr>
          <w:ilvl w:val="0"/>
          <w:numId w:val="5"/>
        </w:numPr>
        <w:spacing w:after="0"/>
        <w:jc w:val="both"/>
      </w:pPr>
      <w:r>
        <w:t>sistemi virtualizzati con relativa descrizione;</w:t>
      </w:r>
    </w:p>
    <w:p w:rsidR="003F5FD6" w:rsidRDefault="003F5FD6" w:rsidP="009335CF">
      <w:pPr>
        <w:pStyle w:val="Paragrafoelenco"/>
        <w:numPr>
          <w:ilvl w:val="0"/>
          <w:numId w:val="5"/>
        </w:numPr>
        <w:spacing w:after="0"/>
        <w:jc w:val="both"/>
      </w:pPr>
      <w:r>
        <w:t>archivi centralizzati;</w:t>
      </w:r>
    </w:p>
    <w:p w:rsidR="003F5FD6" w:rsidRDefault="003F5FD6" w:rsidP="009335CF">
      <w:pPr>
        <w:pStyle w:val="Paragrafoelenco"/>
        <w:numPr>
          <w:ilvl w:val="0"/>
          <w:numId w:val="5"/>
        </w:numPr>
        <w:spacing w:after="0"/>
        <w:jc w:val="both"/>
      </w:pPr>
      <w:r>
        <w:t>client di rete;</w:t>
      </w:r>
    </w:p>
    <w:p w:rsidR="003F5FD6" w:rsidRDefault="003F5FD6" w:rsidP="009335CF">
      <w:pPr>
        <w:pStyle w:val="Paragrafoelenco"/>
        <w:numPr>
          <w:ilvl w:val="0"/>
          <w:numId w:val="5"/>
        </w:numPr>
        <w:spacing w:after="0"/>
        <w:jc w:val="both"/>
      </w:pPr>
      <w:r>
        <w:t>tecnologie particolari;</w:t>
      </w:r>
    </w:p>
    <w:p w:rsidR="003F5FD6" w:rsidRDefault="003F5FD6" w:rsidP="009335CF">
      <w:pPr>
        <w:pStyle w:val="Paragrafoelenco"/>
        <w:numPr>
          <w:ilvl w:val="0"/>
          <w:numId w:val="5"/>
        </w:numPr>
        <w:spacing w:after="0"/>
        <w:jc w:val="both"/>
      </w:pPr>
      <w:r>
        <w:t>protezioni;</w:t>
      </w:r>
    </w:p>
    <w:p w:rsidR="003F5FD6" w:rsidRDefault="003F5FD6" w:rsidP="009335CF">
      <w:pPr>
        <w:pStyle w:val="Paragrafoelenco"/>
        <w:numPr>
          <w:ilvl w:val="0"/>
          <w:numId w:val="5"/>
        </w:numPr>
        <w:spacing w:after="0"/>
        <w:jc w:val="both"/>
      </w:pPr>
      <w:r>
        <w:t xml:space="preserve">reti locali, indicando: </w:t>
      </w:r>
      <w:r w:rsidR="009335CF">
        <w:t>tecnologie, cablagg</w:t>
      </w:r>
      <w:r>
        <w:t>io, dimensionamenti, apparati);</w:t>
      </w:r>
    </w:p>
    <w:p w:rsidR="004369A5" w:rsidRDefault="009335CF" w:rsidP="009335CF">
      <w:pPr>
        <w:pStyle w:val="Paragrafoelenco"/>
        <w:numPr>
          <w:ilvl w:val="0"/>
          <w:numId w:val="5"/>
        </w:numPr>
        <w:spacing w:after="0"/>
        <w:jc w:val="both"/>
      </w:pPr>
      <w:r>
        <w:t>sistemi di backup</w:t>
      </w:r>
      <w:r w:rsidR="003F5FD6">
        <w:t xml:space="preserve">, indicando: </w:t>
      </w:r>
      <w:r>
        <w:t>dispositivi, software utilizzato, supporti, tipologia dei backup, frequenza, controllo, procedure e responsabilità, con eventuali allegati e note;</w:t>
      </w:r>
    </w:p>
    <w:p w:rsidR="003F5FD6" w:rsidRDefault="003F5FD6" w:rsidP="009335CF">
      <w:pPr>
        <w:pStyle w:val="Paragrafoelenco"/>
        <w:numPr>
          <w:ilvl w:val="0"/>
          <w:numId w:val="5"/>
        </w:numPr>
        <w:spacing w:after="0"/>
        <w:jc w:val="both"/>
      </w:pPr>
      <w:r>
        <w:t xml:space="preserve">reti </w:t>
      </w:r>
      <w:proofErr w:type="spellStart"/>
      <w:r>
        <w:t>Wifi</w:t>
      </w:r>
      <w:proofErr w:type="spellEnd"/>
      <w:r>
        <w:t xml:space="preserve"> indicando: descrizione, protezioni e procedure;</w:t>
      </w:r>
    </w:p>
    <w:p w:rsidR="003F5FD6" w:rsidRDefault="003F5FD6" w:rsidP="009335CF">
      <w:pPr>
        <w:pStyle w:val="Paragrafoelenco"/>
        <w:numPr>
          <w:ilvl w:val="0"/>
          <w:numId w:val="5"/>
        </w:numPr>
        <w:spacing w:after="0"/>
        <w:jc w:val="both"/>
      </w:pPr>
      <w:r>
        <w:lastRenderedPageBreak/>
        <w:t>protezione antivirus e relative procedure;</w:t>
      </w:r>
    </w:p>
    <w:p w:rsidR="003F5FD6" w:rsidRDefault="003F5FD6" w:rsidP="0015653A">
      <w:pPr>
        <w:pStyle w:val="Paragrafoelenco"/>
        <w:numPr>
          <w:ilvl w:val="0"/>
          <w:numId w:val="5"/>
        </w:numPr>
        <w:jc w:val="both"/>
      </w:pPr>
      <w:r>
        <w:t>connettività e relativa protezione.</w:t>
      </w:r>
    </w:p>
    <w:p w:rsidR="0082323C" w:rsidRPr="00C4571D" w:rsidRDefault="0082323C" w:rsidP="0082323C">
      <w:pPr>
        <w:spacing w:after="0"/>
        <w:jc w:val="both"/>
        <w:rPr>
          <w:b/>
        </w:rPr>
      </w:pPr>
      <w:r w:rsidRPr="00C4571D">
        <w:rPr>
          <w:b/>
        </w:rPr>
        <w:t>Applicazioni utilizzate per i trattamenti</w:t>
      </w:r>
    </w:p>
    <w:p w:rsidR="0082323C" w:rsidRDefault="0082323C" w:rsidP="0082323C">
      <w:pPr>
        <w:spacing w:after="0"/>
        <w:jc w:val="both"/>
      </w:pPr>
      <w:r>
        <w:t>Permette di descrivere le applicazioni utilizzate per l’effettuazione dei trattamenti, indicando:</w:t>
      </w:r>
    </w:p>
    <w:p w:rsidR="0082323C" w:rsidRDefault="005A442E" w:rsidP="00C4571D">
      <w:pPr>
        <w:pStyle w:val="Paragrafoelenco"/>
        <w:numPr>
          <w:ilvl w:val="0"/>
          <w:numId w:val="6"/>
        </w:numPr>
        <w:spacing w:after="0"/>
        <w:jc w:val="both"/>
      </w:pPr>
      <w:r>
        <w:t>a</w:t>
      </w:r>
      <w:r w:rsidR="00C4571D">
        <w:t>pplicazione e tipologia;</w:t>
      </w:r>
    </w:p>
    <w:p w:rsidR="00C4571D" w:rsidRDefault="005A442E" w:rsidP="00C4571D">
      <w:pPr>
        <w:pStyle w:val="Paragrafoelenco"/>
        <w:numPr>
          <w:ilvl w:val="0"/>
          <w:numId w:val="6"/>
        </w:numPr>
        <w:spacing w:after="0"/>
        <w:jc w:val="both"/>
      </w:pPr>
      <w:r>
        <w:t>s</w:t>
      </w:r>
      <w:r w:rsidR="00C4571D">
        <w:t>istema di autenticazione e relative caratteristiche tecniche;</w:t>
      </w:r>
    </w:p>
    <w:p w:rsidR="00C4571D" w:rsidRDefault="005A442E" w:rsidP="00C4571D">
      <w:pPr>
        <w:pStyle w:val="Paragrafoelenco"/>
        <w:numPr>
          <w:ilvl w:val="0"/>
          <w:numId w:val="6"/>
        </w:numPr>
        <w:spacing w:after="0"/>
        <w:jc w:val="both"/>
      </w:pPr>
      <w:r>
        <w:t>s</w:t>
      </w:r>
      <w:r w:rsidR="00C4571D">
        <w:t>istema di profilazione e relative modalità di gestione e relative procedure;</w:t>
      </w:r>
    </w:p>
    <w:p w:rsidR="00C4571D" w:rsidRDefault="005A442E" w:rsidP="00C4571D">
      <w:pPr>
        <w:pStyle w:val="Paragrafoelenco"/>
        <w:numPr>
          <w:ilvl w:val="0"/>
          <w:numId w:val="6"/>
        </w:numPr>
        <w:spacing w:after="0"/>
        <w:jc w:val="both"/>
      </w:pPr>
      <w:r>
        <w:t>e</w:t>
      </w:r>
      <w:r w:rsidR="00C4571D">
        <w:t>ventuali documenti allegati;</w:t>
      </w:r>
    </w:p>
    <w:p w:rsidR="00C4571D" w:rsidRDefault="005A442E" w:rsidP="00C4571D">
      <w:pPr>
        <w:pStyle w:val="Paragrafoelenco"/>
        <w:numPr>
          <w:ilvl w:val="0"/>
          <w:numId w:val="6"/>
        </w:numPr>
        <w:spacing w:after="0"/>
        <w:jc w:val="both"/>
      </w:pPr>
      <w:r>
        <w:t>ubicazione dell’applicazione e dei relativi archivi;</w:t>
      </w:r>
    </w:p>
    <w:p w:rsidR="005A442E" w:rsidRDefault="005A442E" w:rsidP="0015653A">
      <w:pPr>
        <w:pStyle w:val="Paragrafoelenco"/>
        <w:numPr>
          <w:ilvl w:val="0"/>
          <w:numId w:val="6"/>
        </w:numPr>
        <w:jc w:val="both"/>
      </w:pPr>
      <w:r>
        <w:t>modalità di backup (selezionando il sistema dal relativo archivio).</w:t>
      </w:r>
    </w:p>
    <w:p w:rsidR="005A442E" w:rsidRPr="0070687D" w:rsidRDefault="0070687D" w:rsidP="005A442E">
      <w:pPr>
        <w:spacing w:after="0"/>
        <w:jc w:val="both"/>
        <w:rPr>
          <w:b/>
        </w:rPr>
      </w:pPr>
      <w:r w:rsidRPr="0070687D">
        <w:rPr>
          <w:b/>
        </w:rPr>
        <w:t>Gestione e stampa delle note di compilazione</w:t>
      </w:r>
    </w:p>
    <w:p w:rsidR="0070687D" w:rsidRDefault="0070687D" w:rsidP="0015653A">
      <w:pPr>
        <w:jc w:val="both"/>
      </w:pPr>
      <w:r>
        <w:t>L’applicazione permette la gestione di eventuali note di compilazione che possono essere riferite a trattamenti, archivi od applicazioni, inserendo eventualmente documenti allegati.</w:t>
      </w:r>
    </w:p>
    <w:p w:rsidR="0070687D" w:rsidRPr="00DE6B92" w:rsidRDefault="00DE6B92" w:rsidP="005A442E">
      <w:pPr>
        <w:spacing w:after="0"/>
        <w:jc w:val="both"/>
        <w:rPr>
          <w:b/>
        </w:rPr>
      </w:pPr>
      <w:r w:rsidRPr="00DE6B92">
        <w:rPr>
          <w:b/>
        </w:rPr>
        <w:t>Documentazione delle politiche di sicurezza infrastrutturali</w:t>
      </w:r>
    </w:p>
    <w:p w:rsidR="00DE6B92" w:rsidRDefault="00DE6B92" w:rsidP="0015653A">
      <w:pPr>
        <w:jc w:val="both"/>
      </w:pPr>
      <w:r>
        <w:t>Con il termine “politiche di sicurezza infr</w:t>
      </w:r>
      <w:r w:rsidR="00FA0C85">
        <w:t>a</w:t>
      </w:r>
      <w:r>
        <w:t xml:space="preserve">strutturali” si intende l’insieme di tutte le misure di protezione che vengono applicate al sistema informatico nel suo complesso. </w:t>
      </w:r>
      <w:r w:rsidR="002E3CE0">
        <w:t>L’applicazione fornisce un elenco di circa 250 misure di protezione di tipo infrastrutturale. Sono comprese misure di tipo tecnico e di tipo organizzativo o procedurale. Ogni misura è qualificata in termini di contributo alla riservatezza, all’integrità ed alla disponibilità delle informazioni, e da una identificazione di necessità di applicazione in rapporto alla dimensione del sistema informatico ed alla tipologia di trattamenti svolti dal titolare; si precisa che la qualificazione è il risultato della valutazione dello sviluppatore, realizzata in base ai più diffusi standard di riferimento sulla sicurezza delle informazioni, ma non corrisponde ad alcun riferimento normativo e non può essere considerato come strumento in grado di</w:t>
      </w:r>
      <w:r w:rsidR="00FA0C85">
        <w:t xml:space="preserve"> assicurare la presenza di un sistema di protezione e sicurezza adeguato per i trattamenti svolti. L’elenco e la qualificazione delle singole misure può essere modificato dall’utilizzatore mediante una funzione di gestione dello stesso.</w:t>
      </w:r>
      <w:r w:rsidR="00496DC6">
        <w:t xml:space="preserve"> L’utente ha la facoltà di indicare quali sono le misure attive fornendo, ove opportuno, una descrizione di chiarimento delle modalità di applicazione delle stesse.</w:t>
      </w:r>
    </w:p>
    <w:p w:rsidR="00FA0C85" w:rsidRPr="00FA0C85" w:rsidRDefault="00FA0C85" w:rsidP="005A442E">
      <w:pPr>
        <w:spacing w:after="0"/>
        <w:jc w:val="both"/>
        <w:rPr>
          <w:b/>
        </w:rPr>
      </w:pPr>
      <w:r w:rsidRPr="00FA0C85">
        <w:rPr>
          <w:b/>
        </w:rPr>
        <w:t>Documentazione delle politiche di sicurezza applicative</w:t>
      </w:r>
    </w:p>
    <w:p w:rsidR="00FA0C85" w:rsidRDefault="00FA0C85" w:rsidP="009B1B40">
      <w:pPr>
        <w:jc w:val="both"/>
      </w:pPr>
      <w:r>
        <w:t>Con il termine “politiche di sicurezza applicative” si intende l’insieme di tutte le misure di protezione che vengono applicate alle applicazioni utilizzate per i trattamenti. L’applicazione fornisce un elenco di circa 90 misure di protezione di tipo applicativo, da valutare per ogni singola applicazione.</w:t>
      </w:r>
      <w:r w:rsidRPr="00FA0C85">
        <w:t xml:space="preserve"> </w:t>
      </w:r>
      <w:r>
        <w:t>Sono comprese misure di tipo tecnico e di tipo organizzativo o procedurale. Ogni misura è qualificata in termini di contributo alla riservatezza, all’integrità ed alla disponibilità delle informazioni, e da una identificazione di necessità di applicazione in rapporto alla dimensione del sistema informatico ed alla tipologia di trattamenti svolti dal titolare; si precisa che la qualificazione è il risultato della valutazione dello sviluppatore, realizzata in base ai più diffusi standard di riferimento sulla sicurezza delle informazioni, ma non corrisponde ad alcun riferimento normativo e non può essere considerato come strumento in grado di assicurare la presenza di un sistema di protezione e sicurezza adeguato per i trattamenti svolti. L’elenco e la qualificazione delle singole misure può essere modificato dall’utilizzatore mediante una funzione di gestione dello stesso.</w:t>
      </w:r>
      <w:r w:rsidR="00496DC6">
        <w:t xml:space="preserve"> L’utente ha la facoltà di indicare quali sono le misure attive fornendo, ove opportuno, una descrizione di chiarimento delle modalità di applicazione delle stesse.</w:t>
      </w:r>
    </w:p>
    <w:p w:rsidR="00FA0C85" w:rsidRPr="00496DC6" w:rsidRDefault="00FA0C85" w:rsidP="005A442E">
      <w:pPr>
        <w:spacing w:after="0"/>
        <w:jc w:val="both"/>
        <w:rPr>
          <w:b/>
        </w:rPr>
      </w:pPr>
      <w:r w:rsidRPr="00496DC6">
        <w:rPr>
          <w:b/>
        </w:rPr>
        <w:t xml:space="preserve">Gestione dei “data </w:t>
      </w:r>
      <w:proofErr w:type="spellStart"/>
      <w:r w:rsidRPr="00496DC6">
        <w:rPr>
          <w:b/>
        </w:rPr>
        <w:t>breach</w:t>
      </w:r>
      <w:proofErr w:type="spellEnd"/>
      <w:r w:rsidRPr="00496DC6">
        <w:rPr>
          <w:b/>
        </w:rPr>
        <w:t>”</w:t>
      </w:r>
    </w:p>
    <w:p w:rsidR="00FA0C85" w:rsidRDefault="00FA0C85" w:rsidP="009B1B40">
      <w:pPr>
        <w:jc w:val="both"/>
      </w:pPr>
      <w:r>
        <w:t xml:space="preserve">Fornisce il supporto per la documentazione </w:t>
      </w:r>
      <w:r w:rsidR="00282F6F">
        <w:t xml:space="preserve">delle violazioni dei dati personali (“data </w:t>
      </w:r>
      <w:proofErr w:type="spellStart"/>
      <w:r w:rsidR="00282F6F">
        <w:t>brach</w:t>
      </w:r>
      <w:proofErr w:type="spellEnd"/>
      <w:r w:rsidR="00282F6F">
        <w:t xml:space="preserve">”) secondo le modalità indicate dal GDPR. </w:t>
      </w:r>
      <w:r w:rsidR="00496DC6">
        <w:t>La funzione verrà implementata mediante aggiornamento nel momento in cui la relativa documentazione sarà normativamente definita.</w:t>
      </w:r>
    </w:p>
    <w:p w:rsidR="00496DC6" w:rsidRPr="00496DC6" w:rsidRDefault="00496DC6" w:rsidP="005A442E">
      <w:pPr>
        <w:spacing w:after="0"/>
        <w:jc w:val="both"/>
        <w:rPr>
          <w:b/>
        </w:rPr>
      </w:pPr>
      <w:r w:rsidRPr="00496DC6">
        <w:rPr>
          <w:b/>
        </w:rPr>
        <w:t>Registro dei trattamenti (I sezione – trattamenti)</w:t>
      </w:r>
    </w:p>
    <w:p w:rsidR="00496DC6" w:rsidRDefault="00496DC6" w:rsidP="009B1B40">
      <w:pPr>
        <w:jc w:val="both"/>
      </w:pPr>
      <w:r>
        <w:lastRenderedPageBreak/>
        <w:t>Permette la stampa della prima sezione del registro dei trattamenti, comprendente le informazioni contenute nella sezione “Documentazione dei trattamenti”.</w:t>
      </w:r>
    </w:p>
    <w:p w:rsidR="00496DC6" w:rsidRPr="00496DC6" w:rsidRDefault="00496DC6" w:rsidP="005A442E">
      <w:pPr>
        <w:spacing w:after="0"/>
        <w:jc w:val="both"/>
        <w:rPr>
          <w:b/>
        </w:rPr>
      </w:pPr>
      <w:r w:rsidRPr="00496DC6">
        <w:rPr>
          <w:b/>
        </w:rPr>
        <w:t>Registro dei trattamenti (II sezione – Archivi e incaricati)</w:t>
      </w:r>
    </w:p>
    <w:p w:rsidR="00496DC6" w:rsidRDefault="00496DC6" w:rsidP="009B1B40">
      <w:pPr>
        <w:jc w:val="both"/>
      </w:pPr>
      <w:r>
        <w:t xml:space="preserve">Permette la stampa della </w:t>
      </w:r>
      <w:r w:rsidR="000A2344">
        <w:t>seconda</w:t>
      </w:r>
      <w:r>
        <w:t xml:space="preserve"> sezione del registro dei trattamenti, comprendente le informazioni relative agli archivi utilizzati, ai gruppi omogenei ed agli incaricati del trattamento (con indicazione dei trattamenti cui cias</w:t>
      </w:r>
      <w:r w:rsidR="000A2344">
        <w:t>cun</w:t>
      </w:r>
      <w:r>
        <w:t>o di essi partecipa) a seguito della compilazione dei trattamenti.</w:t>
      </w:r>
    </w:p>
    <w:p w:rsidR="00496DC6" w:rsidRPr="000A2344" w:rsidRDefault="000A2344" w:rsidP="005A442E">
      <w:pPr>
        <w:spacing w:after="0"/>
        <w:jc w:val="both"/>
        <w:rPr>
          <w:b/>
        </w:rPr>
      </w:pPr>
      <w:r w:rsidRPr="000A2344">
        <w:rPr>
          <w:b/>
        </w:rPr>
        <w:t>Registro dei trattamenti (III sezione – sistema informatico e sicurezza di base)</w:t>
      </w:r>
    </w:p>
    <w:p w:rsidR="000A2344" w:rsidRDefault="000A2344" w:rsidP="009B1B40">
      <w:pPr>
        <w:jc w:val="both"/>
      </w:pPr>
      <w:r>
        <w:t>Permette la stampa della terza sezione del registro dei trattamenti, comprendente le informazioni contenute nella sezione “</w:t>
      </w:r>
      <w:r w:rsidRPr="000A2344">
        <w:t>Documentazione del sistema informatico e delle misure di sicurezza di base</w:t>
      </w:r>
      <w:r>
        <w:t>”.</w:t>
      </w:r>
    </w:p>
    <w:p w:rsidR="000A2344" w:rsidRPr="000A2344" w:rsidRDefault="000A2344" w:rsidP="005A442E">
      <w:pPr>
        <w:spacing w:after="0"/>
        <w:jc w:val="both"/>
        <w:rPr>
          <w:b/>
        </w:rPr>
      </w:pPr>
      <w:r w:rsidRPr="000A2344">
        <w:rPr>
          <w:b/>
        </w:rPr>
        <w:t>Registro dei trattamenti (IV sezione – politiche di sicurezza)</w:t>
      </w:r>
    </w:p>
    <w:p w:rsidR="000A2344" w:rsidRDefault="000A2344" w:rsidP="009B1B40">
      <w:pPr>
        <w:jc w:val="both"/>
      </w:pPr>
      <w:r>
        <w:t>Permette la stampa della quarta sezione del registro dei trattamenti, comprendente le informazioni contenute nelle sezioni “</w:t>
      </w:r>
      <w:r w:rsidRPr="000A2344">
        <w:t>Documentazione delle politiche di sicurezza infrastrutturali</w:t>
      </w:r>
      <w:r>
        <w:t>” e “</w:t>
      </w:r>
      <w:r w:rsidRPr="000A2344">
        <w:t>Documentazione delle politiche di sicurezza applicative</w:t>
      </w:r>
      <w:r>
        <w:t>” relativamente alle misure attive.</w:t>
      </w:r>
    </w:p>
    <w:p w:rsidR="000A2344" w:rsidRPr="00C00BFD" w:rsidRDefault="000A2344" w:rsidP="000A2344">
      <w:pPr>
        <w:spacing w:after="0"/>
        <w:jc w:val="both"/>
        <w:rPr>
          <w:b/>
        </w:rPr>
      </w:pPr>
      <w:r w:rsidRPr="00C00BFD">
        <w:rPr>
          <w:b/>
        </w:rPr>
        <w:t>Report di controllo della compilazione</w:t>
      </w:r>
    </w:p>
    <w:p w:rsidR="000A2344" w:rsidRDefault="000A2344" w:rsidP="000A2344">
      <w:pPr>
        <w:spacing w:after="0"/>
        <w:jc w:val="both"/>
      </w:pPr>
      <w:r>
        <w:t xml:space="preserve">Permette la produzione di un report interno di controllo, che </w:t>
      </w:r>
      <w:r w:rsidR="00C00BFD">
        <w:t>contiene</w:t>
      </w:r>
      <w:r>
        <w:t>:</w:t>
      </w:r>
    </w:p>
    <w:p w:rsidR="00C00BFD" w:rsidRDefault="00C00BFD" w:rsidP="00C00BFD">
      <w:pPr>
        <w:pStyle w:val="Paragrafoelenco"/>
        <w:numPr>
          <w:ilvl w:val="0"/>
          <w:numId w:val="7"/>
        </w:numPr>
        <w:spacing w:after="0"/>
        <w:jc w:val="both"/>
      </w:pPr>
      <w:r>
        <w:t>indicazioni sulla nomina del DPO e sulla indicazione di notificazione;</w:t>
      </w:r>
    </w:p>
    <w:p w:rsidR="00C00BFD" w:rsidRDefault="00C00BFD" w:rsidP="00C00BFD">
      <w:pPr>
        <w:pStyle w:val="Paragrafoelenco"/>
        <w:numPr>
          <w:ilvl w:val="0"/>
          <w:numId w:val="7"/>
        </w:numPr>
        <w:spacing w:after="0"/>
        <w:jc w:val="both"/>
      </w:pPr>
      <w:r>
        <w:t>i responsabili ed i trattamenti cui sono riferiti;</w:t>
      </w:r>
    </w:p>
    <w:p w:rsidR="00C00BFD" w:rsidRDefault="00C00BFD" w:rsidP="00C00BFD">
      <w:pPr>
        <w:pStyle w:val="Paragrafoelenco"/>
        <w:numPr>
          <w:ilvl w:val="0"/>
          <w:numId w:val="7"/>
        </w:numPr>
        <w:spacing w:after="0"/>
        <w:jc w:val="both"/>
      </w:pPr>
      <w:r>
        <w:t>l’elenco dei trattamenti attivi e di quelli non attivi;</w:t>
      </w:r>
    </w:p>
    <w:p w:rsidR="00C00BFD" w:rsidRDefault="00C00BFD" w:rsidP="00C00BFD">
      <w:pPr>
        <w:pStyle w:val="Paragrafoelenco"/>
        <w:numPr>
          <w:ilvl w:val="0"/>
          <w:numId w:val="7"/>
        </w:numPr>
        <w:spacing w:after="0"/>
        <w:jc w:val="both"/>
      </w:pPr>
      <w:r>
        <w:t>l’elenco degli archivi proposti che non sono utilizzati in alcun trattamento;</w:t>
      </w:r>
    </w:p>
    <w:p w:rsidR="00C00BFD" w:rsidRDefault="00C00BFD" w:rsidP="00C00BFD">
      <w:pPr>
        <w:pStyle w:val="Paragrafoelenco"/>
        <w:numPr>
          <w:ilvl w:val="0"/>
          <w:numId w:val="7"/>
        </w:numPr>
        <w:spacing w:after="0"/>
        <w:jc w:val="both"/>
      </w:pPr>
      <w:r>
        <w:t>l’elenco degli archivi utilizzati, con l’indicazione dei trattamenti in cui ciò avviene;</w:t>
      </w:r>
    </w:p>
    <w:p w:rsidR="00C00BFD" w:rsidRDefault="00C00BFD" w:rsidP="00C00BFD">
      <w:pPr>
        <w:pStyle w:val="Paragrafoelenco"/>
        <w:numPr>
          <w:ilvl w:val="0"/>
          <w:numId w:val="7"/>
        </w:numPr>
        <w:spacing w:after="0"/>
        <w:jc w:val="both"/>
      </w:pPr>
      <w:r>
        <w:t>i trattamenti privi di indicazioni sulla modalità di fornitura dell’informativa;</w:t>
      </w:r>
    </w:p>
    <w:p w:rsidR="00C00BFD" w:rsidRDefault="00C00BFD" w:rsidP="00C00BFD">
      <w:pPr>
        <w:pStyle w:val="Paragrafoelenco"/>
        <w:numPr>
          <w:ilvl w:val="0"/>
          <w:numId w:val="7"/>
        </w:numPr>
        <w:spacing w:after="0"/>
        <w:jc w:val="both"/>
      </w:pPr>
      <w:r>
        <w:t>i trattamenti privi di informazioni sulla modalità di raccolta del consenso;</w:t>
      </w:r>
    </w:p>
    <w:p w:rsidR="00C00BFD" w:rsidRDefault="00C00BFD" w:rsidP="00C00BFD">
      <w:pPr>
        <w:pStyle w:val="Paragrafoelenco"/>
        <w:numPr>
          <w:ilvl w:val="0"/>
          <w:numId w:val="7"/>
        </w:numPr>
        <w:spacing w:after="0"/>
        <w:jc w:val="both"/>
      </w:pPr>
      <w:r>
        <w:t>i trattamenti privi di incaricati;</w:t>
      </w:r>
    </w:p>
    <w:p w:rsidR="00C00BFD" w:rsidRDefault="00C00BFD" w:rsidP="00C00BFD">
      <w:pPr>
        <w:pStyle w:val="Paragrafoelenco"/>
        <w:numPr>
          <w:ilvl w:val="0"/>
          <w:numId w:val="7"/>
        </w:numPr>
        <w:spacing w:after="0"/>
        <w:jc w:val="both"/>
      </w:pPr>
      <w:r>
        <w:t>gli archivi privi di indicazioni sulle modalità di gestione;</w:t>
      </w:r>
    </w:p>
    <w:p w:rsidR="00C00BFD" w:rsidRDefault="00C00BFD" w:rsidP="00C00BFD">
      <w:pPr>
        <w:pStyle w:val="Paragrafoelenco"/>
        <w:numPr>
          <w:ilvl w:val="0"/>
          <w:numId w:val="7"/>
        </w:numPr>
        <w:spacing w:after="0"/>
        <w:jc w:val="both"/>
      </w:pPr>
      <w:r>
        <w:t>gli archivi informatici privi di indicazioni sulle modalità di esecuzione dei backup;</w:t>
      </w:r>
    </w:p>
    <w:p w:rsidR="00C00BFD" w:rsidRDefault="00C00BFD" w:rsidP="00C00BFD">
      <w:pPr>
        <w:pStyle w:val="Paragrafoelenco"/>
        <w:numPr>
          <w:ilvl w:val="0"/>
          <w:numId w:val="7"/>
        </w:numPr>
        <w:spacing w:after="0"/>
        <w:jc w:val="both"/>
      </w:pPr>
      <w:r>
        <w:t>i gruppi privi di incaricati;</w:t>
      </w:r>
    </w:p>
    <w:p w:rsidR="00C00BFD" w:rsidRDefault="00C00BFD" w:rsidP="00C00BFD">
      <w:pPr>
        <w:pStyle w:val="Paragrafoelenco"/>
        <w:numPr>
          <w:ilvl w:val="0"/>
          <w:numId w:val="7"/>
        </w:numPr>
        <w:spacing w:after="0"/>
        <w:jc w:val="both"/>
      </w:pPr>
      <w:r>
        <w:t>i gruppi e gli incaricati che non partecipano ad alcun trattamento;</w:t>
      </w:r>
    </w:p>
    <w:p w:rsidR="00AA3D31" w:rsidRDefault="00AA3D31" w:rsidP="009B1B40">
      <w:pPr>
        <w:pStyle w:val="Paragrafoelenco"/>
        <w:numPr>
          <w:ilvl w:val="0"/>
          <w:numId w:val="7"/>
        </w:numPr>
        <w:jc w:val="both"/>
      </w:pPr>
      <w:r>
        <w:t>le mote di compilazione.</w:t>
      </w:r>
    </w:p>
    <w:p w:rsidR="000A2344" w:rsidRPr="00AA3D31" w:rsidRDefault="00AA3D31" w:rsidP="005A442E">
      <w:pPr>
        <w:spacing w:after="0"/>
        <w:jc w:val="both"/>
        <w:rPr>
          <w:b/>
        </w:rPr>
      </w:pPr>
      <w:r w:rsidRPr="00AA3D31">
        <w:rPr>
          <w:b/>
        </w:rPr>
        <w:t>Stampa delle note di compilazione</w:t>
      </w:r>
    </w:p>
    <w:p w:rsidR="00AA3D31" w:rsidRDefault="00AA3D31" w:rsidP="009B1B40">
      <w:pPr>
        <w:jc w:val="both"/>
      </w:pPr>
      <w:r>
        <w:t>Permette la stampa delle note di compilazione</w:t>
      </w:r>
    </w:p>
    <w:p w:rsidR="00AA3D31" w:rsidRPr="00AA3D31" w:rsidRDefault="00AA3D31" w:rsidP="005A442E">
      <w:pPr>
        <w:spacing w:after="0"/>
        <w:jc w:val="both"/>
        <w:rPr>
          <w:b/>
        </w:rPr>
      </w:pPr>
      <w:r w:rsidRPr="00AA3D31">
        <w:rPr>
          <w:b/>
        </w:rPr>
        <w:t>Esportazione delle schede dei trattamenti</w:t>
      </w:r>
    </w:p>
    <w:p w:rsidR="00AA3D31" w:rsidRDefault="00AA3D31" w:rsidP="009B1B40">
      <w:pPr>
        <w:jc w:val="both"/>
      </w:pPr>
      <w:r>
        <w:t>Permette l’esportazione delle schede dei trattamenti (contenute nella prima sezione del Registro dei trattamenti) in formato “RTF” utilizzabile, ad esempio, con Microsoft ® Word ®.</w:t>
      </w:r>
    </w:p>
    <w:p w:rsidR="00AA3D31" w:rsidRPr="00FC3291" w:rsidRDefault="00FC3291" w:rsidP="005A442E">
      <w:pPr>
        <w:spacing w:after="0"/>
        <w:jc w:val="both"/>
        <w:rPr>
          <w:b/>
        </w:rPr>
      </w:pPr>
      <w:r w:rsidRPr="00FC3291">
        <w:rPr>
          <w:b/>
        </w:rPr>
        <w:t>Supporto alla predisposizione delle istruzioni agli incaricati</w:t>
      </w:r>
    </w:p>
    <w:p w:rsidR="00FC3291" w:rsidRDefault="00FC3291" w:rsidP="009B1B40">
      <w:pPr>
        <w:jc w:val="both"/>
      </w:pPr>
      <w:r>
        <w:t xml:space="preserve">La funzione genera un file in formato Microsoft® Excel ® contenente l’elenco degli incaricati e dei trattamenti svolti da ciascuno degli stessi. Il file può essere utilizzato con Microsoft ® Word ® (utilizzando la funzione “Lettere” di tale programma) per la produzione delle istruzioni, che possono richiamare le schede dei trattamenti. </w:t>
      </w:r>
      <w:r w:rsidR="008E1477">
        <w:t xml:space="preserve">A corredo dell’applicazione viene fornito un documento utilizzabile con Microsoft ® </w:t>
      </w:r>
      <w:proofErr w:type="spellStart"/>
      <w:r w:rsidR="008E1477">
        <w:t>Eord</w:t>
      </w:r>
      <w:proofErr w:type="spellEnd"/>
      <w:r w:rsidR="008E1477">
        <w:t xml:space="preserve"> ® utilizzabile a tale scopo ed eventualmente modificabile dall’utilizzatore.</w:t>
      </w:r>
    </w:p>
    <w:p w:rsidR="008E1477" w:rsidRPr="008E1477" w:rsidRDefault="008E1477" w:rsidP="005A442E">
      <w:pPr>
        <w:spacing w:after="0"/>
        <w:jc w:val="both"/>
        <w:rPr>
          <w:b/>
        </w:rPr>
      </w:pPr>
      <w:r w:rsidRPr="008E1477">
        <w:rPr>
          <w:b/>
        </w:rPr>
        <w:t>Esportazione degli archivi in formato Excel</w:t>
      </w:r>
    </w:p>
    <w:p w:rsidR="008E1477" w:rsidRDefault="008E1477" w:rsidP="009B1B40">
      <w:pPr>
        <w:jc w:val="both"/>
      </w:pPr>
      <w:r>
        <w:t>Permette l’esportazione in formato Microsoft ® Excel ® delle informazioni contenute negli archivi dell’applicazione relative ai trattamenti.</w:t>
      </w:r>
    </w:p>
    <w:p w:rsidR="008E1477" w:rsidRPr="008E1477" w:rsidRDefault="008E1477" w:rsidP="005A442E">
      <w:pPr>
        <w:spacing w:after="0"/>
        <w:jc w:val="both"/>
        <w:rPr>
          <w:b/>
        </w:rPr>
      </w:pPr>
      <w:r w:rsidRPr="008E1477">
        <w:rPr>
          <w:b/>
        </w:rPr>
        <w:t>Supporto alla predisposizione di informative e consensi informati</w:t>
      </w:r>
    </w:p>
    <w:p w:rsidR="008E1477" w:rsidRDefault="008E1477" w:rsidP="009B1B40">
      <w:pPr>
        <w:jc w:val="both"/>
      </w:pPr>
      <w:r>
        <w:lastRenderedPageBreak/>
        <w:t xml:space="preserve">La funzione permette, selezionando i trattamenti richiesti dall’elenco di quelli attivi anche in funzione dei soggetti interessati, di realizzare un prototipo di informativa contenente le informazioni </w:t>
      </w:r>
      <w:r w:rsidR="00235740">
        <w:t>previste dall’articolo 13 del Codice della Privacy o del GDPR. Utilizzando le funzioni di stampa è possibile generare un documento successivamente modificabile utilizzando Microsoft ® Word ® 2013. L’informativa può essere integrata dalla sezione relativa alla raccolta del consenso.</w:t>
      </w:r>
    </w:p>
    <w:p w:rsidR="00235740" w:rsidRPr="00235740" w:rsidRDefault="00235740" w:rsidP="005A442E">
      <w:pPr>
        <w:spacing w:after="0"/>
        <w:jc w:val="both"/>
        <w:rPr>
          <w:b/>
        </w:rPr>
      </w:pPr>
      <w:r w:rsidRPr="00235740">
        <w:rPr>
          <w:b/>
        </w:rPr>
        <w:t>Gestione delle verifiche dei trattamenti</w:t>
      </w:r>
    </w:p>
    <w:p w:rsidR="00235740" w:rsidRDefault="00235740" w:rsidP="00837624">
      <w:pPr>
        <w:jc w:val="both"/>
      </w:pPr>
      <w:r>
        <w:t xml:space="preserve">E’ possibile, in qualsiasi momento, </w:t>
      </w:r>
      <w:r w:rsidR="009B1B40">
        <w:t>deselezionare in modo generalizzato il “flag” di verifica dei trattamenti. Questa funzione può essere utilizzata prima di svolgere una verifica (audit) attivando successivamente il flag per i trattamenti che vengono verificati. L’applicazione registra la data di verifica secondo l’orologio di sistema.</w:t>
      </w:r>
    </w:p>
    <w:p w:rsidR="00CC70D1" w:rsidRPr="00CC70D1" w:rsidRDefault="00CC70D1" w:rsidP="005A442E">
      <w:pPr>
        <w:spacing w:after="0"/>
        <w:jc w:val="both"/>
        <w:rPr>
          <w:b/>
        </w:rPr>
      </w:pPr>
      <w:r w:rsidRPr="00CC70D1">
        <w:rPr>
          <w:b/>
        </w:rPr>
        <w:t>Funzionamento in modalità monoutente</w:t>
      </w:r>
    </w:p>
    <w:p w:rsidR="00CC70D1" w:rsidRDefault="00CC70D1" w:rsidP="00837624">
      <w:pPr>
        <w:jc w:val="both"/>
      </w:pPr>
      <w:r>
        <w:t>In modalità monoutente l’applicazione è costituita da un unico file “</w:t>
      </w:r>
      <w:proofErr w:type="spellStart"/>
      <w:r>
        <w:t>accdb</w:t>
      </w:r>
      <w:proofErr w:type="spellEnd"/>
      <w:r>
        <w:t xml:space="preserve">” e può essere eseguita da qualsiasi computer nella configurazione prevista, purché il file sia contenuto in una cartella per la quale l’utente disponga di privilegi di lettura e scrittura. Per ottimizzazione della performance è suggestibile eseguire l’applicazione quando questa è contenuta in una cartella locale del computer da cui viene eseguita. Il file </w:t>
      </w:r>
      <w:proofErr w:type="spellStart"/>
      <w:r>
        <w:t>accdb</w:t>
      </w:r>
      <w:proofErr w:type="spellEnd"/>
      <w:r>
        <w:t xml:space="preserve"> può essere copiato in cartelle diverse ma, se viene aggiornato da diverse postazioni </w:t>
      </w:r>
      <w:r w:rsidR="00837624">
        <w:t>contemporaneamente, gli archivi risultano disallineati e non sono disponibili le modifiche effettuate da tutti gli utenti; cioè, se l’applicazione deve essere utilizzata da più utenti, è responsabilità dell’utilizzatore organizzare le attività degli stessi su più computer assicurandone la sequenzialità.</w:t>
      </w:r>
    </w:p>
    <w:p w:rsidR="00837624" w:rsidRPr="00837624" w:rsidRDefault="00837624" w:rsidP="005A442E">
      <w:pPr>
        <w:spacing w:after="0"/>
        <w:jc w:val="both"/>
        <w:rPr>
          <w:b/>
        </w:rPr>
      </w:pPr>
      <w:r w:rsidRPr="00837624">
        <w:rPr>
          <w:b/>
        </w:rPr>
        <w:t>Funzionamento in rete in multi-utenza</w:t>
      </w:r>
    </w:p>
    <w:p w:rsidR="00837624" w:rsidRDefault="00837624" w:rsidP="005A442E">
      <w:pPr>
        <w:spacing w:after="0"/>
        <w:jc w:val="both"/>
      </w:pPr>
      <w:r>
        <w:t>Nella modalità multi-utenza l’applicazione supporta l’utilizzo contemporaneo di più utenti. In questo caso l’applicazione è costituita da due file “</w:t>
      </w:r>
      <w:proofErr w:type="spellStart"/>
      <w:r>
        <w:t>accdb</w:t>
      </w:r>
      <w:proofErr w:type="spellEnd"/>
      <w:r>
        <w:t>”: uno contiene le tabelle (oggetti che conten</w:t>
      </w:r>
      <w:r w:rsidR="0079348F">
        <w:t>g</w:t>
      </w:r>
      <w:r>
        <w:t>ono le informazioni),</w:t>
      </w:r>
      <w:r w:rsidR="0079348F">
        <w:t xml:space="preserve"> ed uno che contiene il “front-end” dell’applicazione in uso agli utenti. Il file contenente le tabelle deve essere posizionato in una cartella per la quale tutti gli utenti dell’applicazione abbiano diritti di lettura e scrittura. L’applicazione gestisce le “tabelle allegate” cioè collegate al file di front-end; se il file contenente le tabelle viene spostato il collegamento delle tabelle allegate. L’applicazione supporta tale funzionalità indicando la cartella di archiviazione prevista per le tabelle allegate e permettendone la modifica in caso di modifica.</w:t>
      </w:r>
    </w:p>
    <w:p w:rsidR="0079348F" w:rsidRDefault="0079348F" w:rsidP="005A442E">
      <w:pPr>
        <w:spacing w:after="0"/>
        <w:jc w:val="both"/>
      </w:pPr>
      <w:r>
        <w:t>Si suggerisce, per semplicità di gestione, di utilizzare la versione in multi-utenza solo in caso di effettiva necessità.</w:t>
      </w:r>
    </w:p>
    <w:p w:rsidR="0079348F" w:rsidRPr="0021390A" w:rsidRDefault="0021390A" w:rsidP="0021390A">
      <w:pPr>
        <w:jc w:val="center"/>
        <w:rPr>
          <w:b/>
        </w:rPr>
      </w:pPr>
      <w:r w:rsidRPr="0021390A">
        <w:rPr>
          <w:b/>
        </w:rPr>
        <w:t>Note tecniche</w:t>
      </w:r>
    </w:p>
    <w:p w:rsidR="0021390A" w:rsidRDefault="0021390A"/>
    <w:p w:rsidR="0079348F" w:rsidRPr="0036782C" w:rsidRDefault="0021390A" w:rsidP="0021390A">
      <w:pPr>
        <w:pStyle w:val="Paragrafoelenco"/>
        <w:numPr>
          <w:ilvl w:val="0"/>
          <w:numId w:val="8"/>
        </w:numPr>
        <w:spacing w:after="0"/>
        <w:jc w:val="both"/>
      </w:pPr>
      <w:r w:rsidRPr="0036782C">
        <w:t xml:space="preserve">La ragione sociale </w:t>
      </w:r>
      <w:r w:rsidR="003907E8" w:rsidRPr="0036782C">
        <w:t>/</w:t>
      </w:r>
      <w:proofErr w:type="gramStart"/>
      <w:r w:rsidR="003907E8" w:rsidRPr="0036782C">
        <w:t xml:space="preserve">denominazione  </w:t>
      </w:r>
      <w:r w:rsidRPr="0036782C">
        <w:t>deve</w:t>
      </w:r>
      <w:proofErr w:type="gramEnd"/>
      <w:r w:rsidRPr="0036782C">
        <w:t xml:space="preserve"> essere comunicata nel momento dell’ordine dell’applicazione </w:t>
      </w:r>
      <w:r w:rsidR="003907E8" w:rsidRPr="0036782C">
        <w:t>.</w:t>
      </w:r>
      <w:r w:rsidRPr="0036782C">
        <w:t xml:space="preserve"> L’applicazione verrà fornita con la ragione sociale inserita nell’archivio.</w:t>
      </w:r>
    </w:p>
    <w:p w:rsidR="0021390A" w:rsidRPr="0036782C" w:rsidRDefault="00A24DFA" w:rsidP="0021390A">
      <w:pPr>
        <w:pStyle w:val="Paragrafoelenco"/>
        <w:numPr>
          <w:ilvl w:val="0"/>
          <w:numId w:val="8"/>
        </w:numPr>
        <w:spacing w:after="0"/>
        <w:jc w:val="both"/>
      </w:pPr>
      <w:r w:rsidRPr="0036782C">
        <w:t xml:space="preserve">In caso di </w:t>
      </w:r>
      <w:r w:rsidR="0021390A" w:rsidRPr="0036782C">
        <w:t>necessità di modifica della ragione sociale</w:t>
      </w:r>
      <w:r w:rsidR="003907E8" w:rsidRPr="0036782C">
        <w:t xml:space="preserve"> / denominazione</w:t>
      </w:r>
      <w:r w:rsidR="0021390A" w:rsidRPr="0036782C">
        <w:t xml:space="preserve"> in un momento successivo verrà </w:t>
      </w:r>
      <w:r w:rsidRPr="0036782C">
        <w:t>fornito un “</w:t>
      </w:r>
      <w:proofErr w:type="spellStart"/>
      <w:r w:rsidRPr="0036782C">
        <w:t>tool</w:t>
      </w:r>
      <w:proofErr w:type="spellEnd"/>
      <w:r w:rsidRPr="0036782C">
        <w:t>” .</w:t>
      </w:r>
    </w:p>
    <w:p w:rsidR="00A24DFA" w:rsidRDefault="00A0420F" w:rsidP="0021390A">
      <w:pPr>
        <w:pStyle w:val="Paragrafoelenco"/>
        <w:numPr>
          <w:ilvl w:val="0"/>
          <w:numId w:val="8"/>
        </w:numPr>
        <w:spacing w:after="0"/>
        <w:jc w:val="both"/>
      </w:pPr>
      <w:r>
        <w:t>Gli aggiornamenti avverranno mediante invio di applicazioni Microsoft ® Access ® 2013 che effettueranno le relative attività.</w:t>
      </w:r>
      <w:r w:rsidR="00464383">
        <w:t xml:space="preserve"> L’installazione di qualsiasi aggiornamento richiede l’installazione degli aggiornamenti precedenti.</w:t>
      </w:r>
    </w:p>
    <w:p w:rsidR="00464383" w:rsidRPr="003907E8" w:rsidRDefault="00464383" w:rsidP="00464383">
      <w:pPr>
        <w:pStyle w:val="Paragrafoelenco"/>
        <w:numPr>
          <w:ilvl w:val="0"/>
          <w:numId w:val="8"/>
        </w:numPr>
        <w:spacing w:after="0"/>
      </w:pPr>
      <w:r w:rsidRPr="003907E8">
        <w:t xml:space="preserve">Gli aggiornamenti saranno resi disponibili con continuità </w:t>
      </w:r>
      <w:proofErr w:type="gramStart"/>
      <w:r w:rsidRPr="003907E8">
        <w:t>n</w:t>
      </w:r>
      <w:r w:rsidR="0036782C">
        <w:t xml:space="preserve">el </w:t>
      </w:r>
      <w:r w:rsidRPr="003907E8">
        <w:t xml:space="preserve"> seguente</w:t>
      </w:r>
      <w:proofErr w:type="gramEnd"/>
      <w:r w:rsidRPr="003907E8">
        <w:t xml:space="preserve"> </w:t>
      </w:r>
      <w:r w:rsidR="0036782C">
        <w:t>sito</w:t>
      </w:r>
      <w:r w:rsidRPr="003907E8">
        <w:t>:</w:t>
      </w:r>
    </w:p>
    <w:p w:rsidR="00464383" w:rsidRPr="00CC2E46" w:rsidRDefault="0036782C" w:rsidP="00464383">
      <w:pPr>
        <w:spacing w:after="0"/>
        <w:jc w:val="center"/>
        <w:rPr>
          <w:i/>
        </w:rPr>
      </w:pPr>
      <w:r>
        <w:rPr>
          <w:i/>
        </w:rPr>
        <w:t>nepsoftware.it</w:t>
      </w:r>
    </w:p>
    <w:p w:rsidR="00464383" w:rsidRDefault="000535C3" w:rsidP="000535C3">
      <w:pPr>
        <w:pStyle w:val="Paragrafoelenco"/>
        <w:numPr>
          <w:ilvl w:val="0"/>
          <w:numId w:val="8"/>
        </w:numPr>
        <w:spacing w:after="0"/>
        <w:jc w:val="both"/>
      </w:pPr>
      <w:r>
        <w:t>Gli acquirenti dell’applicazione dovranno fornire un indirizzo di posta elettronica a cui sarà comunicata la disponibilità di ogni nuovo aggiornamento. Sarà loro cura accedere alla pagina indicata per scaricare il software di aggiornamento e procedere ad effettuare lo stesso.</w:t>
      </w:r>
    </w:p>
    <w:p w:rsidR="000535C3" w:rsidRDefault="000535C3" w:rsidP="000535C3">
      <w:pPr>
        <w:pStyle w:val="Paragrafoelenco"/>
        <w:numPr>
          <w:ilvl w:val="0"/>
          <w:numId w:val="8"/>
        </w:numPr>
        <w:spacing w:after="0"/>
        <w:jc w:val="both"/>
      </w:pPr>
      <w:r>
        <w:t>L’applicazione controlla la versione dell’aggiornamento segnalando operazioni improprie (salto di un aggiornamento o aggiornamento già avvenuto).</w:t>
      </w:r>
    </w:p>
    <w:p w:rsidR="000535C3" w:rsidRDefault="000535C3" w:rsidP="000535C3">
      <w:pPr>
        <w:pStyle w:val="Paragrafoelenco"/>
        <w:numPr>
          <w:ilvl w:val="0"/>
          <w:numId w:val="8"/>
        </w:numPr>
        <w:spacing w:after="0"/>
        <w:jc w:val="both"/>
      </w:pPr>
      <w:r>
        <w:lastRenderedPageBreak/>
        <w:t xml:space="preserve">In caso di versioni multi-utente ogni aggiornamento potrebbe riguardare entrambi i </w:t>
      </w:r>
      <w:proofErr w:type="spellStart"/>
      <w:r>
        <w:t>files</w:t>
      </w:r>
      <w:proofErr w:type="spellEnd"/>
      <w:r>
        <w:t xml:space="preserve"> “</w:t>
      </w:r>
      <w:proofErr w:type="spellStart"/>
      <w:r>
        <w:t>accdb</w:t>
      </w:r>
      <w:proofErr w:type="spellEnd"/>
      <w:r>
        <w:t>” che compongono l’applicazione, ed in tal caso la procedura di aggiornamento dovrà essere eseguita separatamente ed in sequenza per ogni file. Aggiornamenti di un solo file potrebbero rendere inutilizzabile l’applicazione.</w:t>
      </w:r>
    </w:p>
    <w:p w:rsidR="000535C3" w:rsidRDefault="000535C3" w:rsidP="000535C3">
      <w:pPr>
        <w:pStyle w:val="Paragrafoelenco"/>
        <w:numPr>
          <w:ilvl w:val="0"/>
          <w:numId w:val="8"/>
        </w:numPr>
        <w:spacing w:after="0"/>
        <w:jc w:val="both"/>
      </w:pPr>
      <w:r>
        <w:t>E’ caldamente suggerito di effettuare una copia di backup del/i file</w:t>
      </w:r>
      <w:r w:rsidR="0031312A">
        <w:t>/</w:t>
      </w:r>
      <w:r>
        <w:t>s che compone/</w:t>
      </w:r>
      <w:proofErr w:type="spellStart"/>
      <w:r>
        <w:t>gono</w:t>
      </w:r>
      <w:proofErr w:type="spellEnd"/>
      <w:r>
        <w:t xml:space="preserve"> l’applicazione prima di procedere ad un aggiornamento</w:t>
      </w:r>
      <w:r w:rsidR="0031312A">
        <w:t>.</w:t>
      </w:r>
    </w:p>
    <w:p w:rsidR="0031312A" w:rsidRDefault="0031312A" w:rsidP="000535C3">
      <w:pPr>
        <w:pStyle w:val="Paragrafoelenco"/>
        <w:numPr>
          <w:ilvl w:val="0"/>
          <w:numId w:val="8"/>
        </w:numPr>
        <w:spacing w:after="0"/>
        <w:jc w:val="both"/>
      </w:pPr>
      <w:r>
        <w:t>Si suggerisce di inserire il/i file/s che compone/</w:t>
      </w:r>
      <w:proofErr w:type="spellStart"/>
      <w:r>
        <w:t>gono</w:t>
      </w:r>
      <w:proofErr w:type="spellEnd"/>
      <w:r>
        <w:t xml:space="preserve"> l’applicazione a regolare operazioni di backup per assicurare la disponibilità della stessa secondo le procedure ritenute più adeguate dall’utilizzatore. Il produttore ed il distributore non rispondono in nessun caso di eventuali perdite di dati contenuti all’interno dell’applicazione.</w:t>
      </w:r>
    </w:p>
    <w:p w:rsidR="0031312A" w:rsidRDefault="004C757D" w:rsidP="000535C3">
      <w:pPr>
        <w:pStyle w:val="Paragrafoelenco"/>
        <w:numPr>
          <w:ilvl w:val="0"/>
          <w:numId w:val="8"/>
        </w:numPr>
        <w:spacing w:after="0"/>
        <w:jc w:val="both"/>
      </w:pPr>
      <w:r>
        <w:t>La funzionalità di gestione di documenti allegati è realizzata utilizzando gli strumenti nativi di Microsoft® Access® 2013 ed il suo funzionamento è limitato alle funzioni native di tale strumento.</w:t>
      </w:r>
    </w:p>
    <w:p w:rsidR="006906C5" w:rsidRDefault="006906C5" w:rsidP="000535C3">
      <w:pPr>
        <w:pStyle w:val="Paragrafoelenco"/>
        <w:numPr>
          <w:ilvl w:val="0"/>
          <w:numId w:val="8"/>
        </w:numPr>
        <w:spacing w:after="0"/>
        <w:jc w:val="both"/>
      </w:pPr>
      <w:r>
        <w:t>In caso di malfunzionamento dell’applicazione, considerando che lo stesso può essere una conseguenza di un malfunzionamento interno di Microsoft® Access®, si suggerisce di utilizzare la funzione “Compatta e ripristina” dello stesso; in tal caso si suggerisce, prima di eseguire l’operazione, di effettuare il backup dell’applicazione.</w:t>
      </w:r>
    </w:p>
    <w:p w:rsidR="004C757D" w:rsidRDefault="004C757D" w:rsidP="000535C3">
      <w:pPr>
        <w:pStyle w:val="Paragrafoelenco"/>
        <w:numPr>
          <w:ilvl w:val="0"/>
          <w:numId w:val="8"/>
        </w:numPr>
        <w:spacing w:after="0"/>
        <w:jc w:val="both"/>
      </w:pPr>
      <w:r>
        <w:t xml:space="preserve">L’applicazione utilizza le funzionalità di database relazionale di Microsoft® Access® 2013 e pertanto: a) le informazioni digitate vengono immediatamente memorizzate nel database non appena compilata la relativa maschera e l’utilizzatore si posiziona su un “record” diverso; non è quindi necessario eseguire alcun salvataggio per la memorizzazione dei dati; b) </w:t>
      </w:r>
      <w:r w:rsidR="006460F7">
        <w:t>gli strumenti di “integrità referenziale” di Microsoft® Access® 2013 assicurano la congruità delle informazioni contenute nell’applicazione ed a tale scopo impediscono la cancellazione di informazioni se queste sono collegate ad altre all’interno del database (ad esempio se un incaricato risulta partecipare ad alcuni trattamenti è necessario eliminarlo da tali trattamenti prima di eliminarlo dall’anagrafica)).</w:t>
      </w:r>
    </w:p>
    <w:p w:rsidR="006906C5" w:rsidRDefault="009C37A5" w:rsidP="000535C3">
      <w:pPr>
        <w:pStyle w:val="Paragrafoelenco"/>
        <w:numPr>
          <w:ilvl w:val="0"/>
          <w:numId w:val="8"/>
        </w:numPr>
        <w:spacing w:after="0"/>
        <w:jc w:val="both"/>
      </w:pPr>
      <w:r>
        <w:t>Microsoft® Ac</w:t>
      </w:r>
      <w:r w:rsidR="00657B36">
        <w:t>c</w:t>
      </w:r>
      <w:r>
        <w:t>ess®</w:t>
      </w:r>
      <w:r w:rsidR="00635145">
        <w:t>, nelle versioni più recenti,</w:t>
      </w:r>
      <w:r w:rsidR="00657B36">
        <w:t xml:space="preserve"> prevede, a fini di sicurezza, il controllo della cartella in cui è posizionato il file “</w:t>
      </w:r>
      <w:proofErr w:type="spellStart"/>
      <w:r w:rsidR="00657B36">
        <w:t>accdb</w:t>
      </w:r>
      <w:proofErr w:type="spellEnd"/>
      <w:r w:rsidR="00657B36">
        <w:t>” che viene mandato in esecuzione; se la cartella non è compresa tra i percorsi definiti come “sicuri” vengono bloccate le funzioni di automazione e vengono presentate segnalazioni all’utente; questa procedura può inibire il funzionamento dell’applicazione. Si suggerisce quindi, eventualmente configurando in modo adeguato Microsoft® Access®, di assicurare che l’applicazione sia posizionata in una cartella sicura.</w:t>
      </w:r>
    </w:p>
    <w:p w:rsidR="0036782C" w:rsidRDefault="0036782C" w:rsidP="0036782C">
      <w:pPr>
        <w:pStyle w:val="Paragrafoelenco"/>
        <w:spacing w:after="0"/>
        <w:ind w:left="360"/>
        <w:jc w:val="both"/>
      </w:pPr>
    </w:p>
    <w:p w:rsidR="00E22602" w:rsidRDefault="00E22602">
      <w:r>
        <w:br w:type="page"/>
      </w:r>
    </w:p>
    <w:sectPr w:rsidR="00E2260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97B" w:rsidRDefault="000F097B" w:rsidP="00B52AF8">
      <w:pPr>
        <w:spacing w:after="0" w:line="240" w:lineRule="auto"/>
      </w:pPr>
      <w:r>
        <w:separator/>
      </w:r>
    </w:p>
  </w:endnote>
  <w:endnote w:type="continuationSeparator" w:id="0">
    <w:p w:rsidR="000F097B" w:rsidRDefault="000F097B" w:rsidP="00B5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97B" w:rsidRDefault="000F097B" w:rsidP="00B52AF8">
      <w:pPr>
        <w:spacing w:after="0" w:line="240" w:lineRule="auto"/>
      </w:pPr>
      <w:r>
        <w:separator/>
      </w:r>
    </w:p>
  </w:footnote>
  <w:footnote w:type="continuationSeparator" w:id="0">
    <w:p w:rsidR="000F097B" w:rsidRDefault="000F097B" w:rsidP="00B52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76DA"/>
    <w:multiLevelType w:val="hybridMultilevel"/>
    <w:tmpl w:val="992E1882"/>
    <w:lvl w:ilvl="0" w:tplc="302C581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4F02F2"/>
    <w:multiLevelType w:val="hybridMultilevel"/>
    <w:tmpl w:val="6BAADBCA"/>
    <w:lvl w:ilvl="0" w:tplc="302C581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4A55E1"/>
    <w:multiLevelType w:val="hybridMultilevel"/>
    <w:tmpl w:val="A4B645AE"/>
    <w:lvl w:ilvl="0" w:tplc="302C581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670E52"/>
    <w:multiLevelType w:val="hybridMultilevel"/>
    <w:tmpl w:val="2B8A9736"/>
    <w:lvl w:ilvl="0" w:tplc="302C5812">
      <w:start w:val="1"/>
      <w:numFmt w:val="bullet"/>
      <w:lvlText w:val="­"/>
      <w:lvlJc w:val="left"/>
      <w:pPr>
        <w:ind w:left="360" w:hanging="360"/>
      </w:pPr>
      <w:rPr>
        <w:rFonts w:ascii="Calibri" w:hAnsi="Calibri" w:hint="default"/>
      </w:rPr>
    </w:lvl>
    <w:lvl w:ilvl="1" w:tplc="302C5812">
      <w:start w:val="1"/>
      <w:numFmt w:val="bullet"/>
      <w:lvlText w:val="­"/>
      <w:lvlJc w:val="left"/>
      <w:pPr>
        <w:ind w:left="1080" w:hanging="360"/>
      </w:pPr>
      <w:rPr>
        <w:rFonts w:ascii="Calibri" w:hAnsi="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6093C17"/>
    <w:multiLevelType w:val="hybridMultilevel"/>
    <w:tmpl w:val="62F85AB0"/>
    <w:lvl w:ilvl="0" w:tplc="302C5812">
      <w:start w:val="1"/>
      <w:numFmt w:val="bullet"/>
      <w:lvlText w:val="­"/>
      <w:lvlJc w:val="left"/>
      <w:pPr>
        <w:ind w:left="360" w:hanging="360"/>
      </w:pPr>
      <w:rPr>
        <w:rFonts w:ascii="Calibri" w:hAnsi="Calibr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B110A96"/>
    <w:multiLevelType w:val="hybridMultilevel"/>
    <w:tmpl w:val="BD109506"/>
    <w:lvl w:ilvl="0" w:tplc="302C581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931DF3"/>
    <w:multiLevelType w:val="hybridMultilevel"/>
    <w:tmpl w:val="45040F6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581E3AAE"/>
    <w:multiLevelType w:val="hybridMultilevel"/>
    <w:tmpl w:val="DCA09F9E"/>
    <w:lvl w:ilvl="0" w:tplc="302C581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F7A13A4"/>
    <w:multiLevelType w:val="hybridMultilevel"/>
    <w:tmpl w:val="8166BB4E"/>
    <w:lvl w:ilvl="0" w:tplc="302C581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592C13"/>
    <w:multiLevelType w:val="hybridMultilevel"/>
    <w:tmpl w:val="2C9E2B66"/>
    <w:lvl w:ilvl="0" w:tplc="302C581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7485DEE"/>
    <w:multiLevelType w:val="hybridMultilevel"/>
    <w:tmpl w:val="9398B05A"/>
    <w:lvl w:ilvl="0" w:tplc="BC4E862A">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9"/>
  </w:num>
  <w:num w:numId="2">
    <w:abstractNumId w:val="8"/>
  </w:num>
  <w:num w:numId="3">
    <w:abstractNumId w:val="7"/>
  </w:num>
  <w:num w:numId="4">
    <w:abstractNumId w:val="0"/>
  </w:num>
  <w:num w:numId="5">
    <w:abstractNumId w:val="1"/>
  </w:num>
  <w:num w:numId="6">
    <w:abstractNumId w:val="5"/>
  </w:num>
  <w:num w:numId="7">
    <w:abstractNumId w:val="2"/>
  </w:num>
  <w:num w:numId="8">
    <w:abstractNumId w:val="10"/>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9C"/>
    <w:rsid w:val="00002E49"/>
    <w:rsid w:val="000535C3"/>
    <w:rsid w:val="00060354"/>
    <w:rsid w:val="00095FCD"/>
    <w:rsid w:val="000A2344"/>
    <w:rsid w:val="000B530B"/>
    <w:rsid w:val="000F097B"/>
    <w:rsid w:val="001563A8"/>
    <w:rsid w:val="0015653A"/>
    <w:rsid w:val="0019010F"/>
    <w:rsid w:val="00194478"/>
    <w:rsid w:val="001B3657"/>
    <w:rsid w:val="001F0E54"/>
    <w:rsid w:val="0021390A"/>
    <w:rsid w:val="00235372"/>
    <w:rsid w:val="00235740"/>
    <w:rsid w:val="00240C16"/>
    <w:rsid w:val="00241552"/>
    <w:rsid w:val="002462E2"/>
    <w:rsid w:val="00282F6F"/>
    <w:rsid w:val="002B1EAD"/>
    <w:rsid w:val="002B5E2B"/>
    <w:rsid w:val="002D7AD3"/>
    <w:rsid w:val="002E3CE0"/>
    <w:rsid w:val="002F1A3B"/>
    <w:rsid w:val="0031312A"/>
    <w:rsid w:val="00344B72"/>
    <w:rsid w:val="00363BEE"/>
    <w:rsid w:val="0036782C"/>
    <w:rsid w:val="003907E8"/>
    <w:rsid w:val="003B69DB"/>
    <w:rsid w:val="003F4F2F"/>
    <w:rsid w:val="003F5FD6"/>
    <w:rsid w:val="004369A5"/>
    <w:rsid w:val="00442F85"/>
    <w:rsid w:val="00464383"/>
    <w:rsid w:val="00496DC6"/>
    <w:rsid w:val="004C757D"/>
    <w:rsid w:val="004F0C03"/>
    <w:rsid w:val="004F314A"/>
    <w:rsid w:val="005A442E"/>
    <w:rsid w:val="005D5770"/>
    <w:rsid w:val="00635145"/>
    <w:rsid w:val="00641F06"/>
    <w:rsid w:val="006460F7"/>
    <w:rsid w:val="00657B36"/>
    <w:rsid w:val="00666A9C"/>
    <w:rsid w:val="006829B8"/>
    <w:rsid w:val="006906C5"/>
    <w:rsid w:val="006A3BE7"/>
    <w:rsid w:val="006C5BDE"/>
    <w:rsid w:val="0070687D"/>
    <w:rsid w:val="00725B47"/>
    <w:rsid w:val="00746FA6"/>
    <w:rsid w:val="0079348F"/>
    <w:rsid w:val="007B49DF"/>
    <w:rsid w:val="00806AFC"/>
    <w:rsid w:val="008147FF"/>
    <w:rsid w:val="0082323C"/>
    <w:rsid w:val="00837624"/>
    <w:rsid w:val="00854E32"/>
    <w:rsid w:val="008870C1"/>
    <w:rsid w:val="008C0BA4"/>
    <w:rsid w:val="008C20CF"/>
    <w:rsid w:val="008E1477"/>
    <w:rsid w:val="00930046"/>
    <w:rsid w:val="009335CF"/>
    <w:rsid w:val="00960B0F"/>
    <w:rsid w:val="0096104C"/>
    <w:rsid w:val="009A2BD7"/>
    <w:rsid w:val="009A4D6A"/>
    <w:rsid w:val="009A6251"/>
    <w:rsid w:val="009B1B40"/>
    <w:rsid w:val="009C37A5"/>
    <w:rsid w:val="00A0420F"/>
    <w:rsid w:val="00A06A2A"/>
    <w:rsid w:val="00A24DFA"/>
    <w:rsid w:val="00AA3D31"/>
    <w:rsid w:val="00AB73EC"/>
    <w:rsid w:val="00AE1043"/>
    <w:rsid w:val="00B17092"/>
    <w:rsid w:val="00B32794"/>
    <w:rsid w:val="00B41F83"/>
    <w:rsid w:val="00B52AF8"/>
    <w:rsid w:val="00B5591D"/>
    <w:rsid w:val="00B977B5"/>
    <w:rsid w:val="00C00BFD"/>
    <w:rsid w:val="00C00DBC"/>
    <w:rsid w:val="00C076A9"/>
    <w:rsid w:val="00C22F69"/>
    <w:rsid w:val="00C4571D"/>
    <w:rsid w:val="00CC2E46"/>
    <w:rsid w:val="00CC70D1"/>
    <w:rsid w:val="00CD4B26"/>
    <w:rsid w:val="00CE2B40"/>
    <w:rsid w:val="00CE6991"/>
    <w:rsid w:val="00CF326F"/>
    <w:rsid w:val="00D245A8"/>
    <w:rsid w:val="00D50D4E"/>
    <w:rsid w:val="00D54AF7"/>
    <w:rsid w:val="00D70700"/>
    <w:rsid w:val="00D7656E"/>
    <w:rsid w:val="00DB3797"/>
    <w:rsid w:val="00DE4B8A"/>
    <w:rsid w:val="00DE6B92"/>
    <w:rsid w:val="00DF4A07"/>
    <w:rsid w:val="00E22602"/>
    <w:rsid w:val="00E33E32"/>
    <w:rsid w:val="00E852F5"/>
    <w:rsid w:val="00E947CC"/>
    <w:rsid w:val="00EE5ACD"/>
    <w:rsid w:val="00F15AFD"/>
    <w:rsid w:val="00F225B1"/>
    <w:rsid w:val="00F51CC9"/>
    <w:rsid w:val="00FA0C85"/>
    <w:rsid w:val="00FB0A3A"/>
    <w:rsid w:val="00FC32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E2C38-C3B4-40AC-BC04-CAC700B9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0A3A"/>
    <w:pPr>
      <w:ind w:left="720"/>
      <w:contextualSpacing/>
    </w:pPr>
  </w:style>
  <w:style w:type="table" w:styleId="Grigliatabella">
    <w:name w:val="Table Grid"/>
    <w:basedOn w:val="Tabellanormale"/>
    <w:uiPriority w:val="39"/>
    <w:rsid w:val="002B1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52A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2AF8"/>
  </w:style>
  <w:style w:type="paragraph" w:styleId="Pidipagina">
    <w:name w:val="footer"/>
    <w:basedOn w:val="Normale"/>
    <w:link w:val="PidipaginaCarattere"/>
    <w:uiPriority w:val="99"/>
    <w:unhideWhenUsed/>
    <w:rsid w:val="00B52A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2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88DE7-9319-45E1-9170-99CAAF8F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4394</Words>
  <Characters>25050</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Larese Gortigo</dc:creator>
  <cp:keywords/>
  <dc:description/>
  <cp:lastModifiedBy>Patrizia Silvestri</cp:lastModifiedBy>
  <cp:revision>2</cp:revision>
  <dcterms:created xsi:type="dcterms:W3CDTF">2017-11-22T09:58:00Z</dcterms:created>
  <dcterms:modified xsi:type="dcterms:W3CDTF">2017-11-22T09:58:00Z</dcterms:modified>
</cp:coreProperties>
</file>